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bookmarkStart w:id="0" w:name="_GoBack"/>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r w:rsidR="00253D3E" w:rsidRPr="00AF1AF7">
        <w:rPr>
          <w:rFonts w:ascii="標楷體" w:eastAsia="標楷體" w:hAnsi="標楷體" w:hint="eastAsia"/>
          <w:sz w:val="32"/>
          <w:szCs w:val="32"/>
        </w:rPr>
        <w:t>年</w:t>
      </w:r>
      <w:r w:rsidR="001C265C">
        <w:rPr>
          <w:rFonts w:ascii="標楷體" w:eastAsia="標楷體" w:hAnsi="標楷體" w:hint="eastAsia"/>
          <w:sz w:val="32"/>
          <w:szCs w:val="32"/>
        </w:rPr>
        <w:t>5</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70"/>
        <w:gridCol w:w="2836"/>
        <w:gridCol w:w="2554"/>
        <w:gridCol w:w="845"/>
      </w:tblGrid>
      <w:tr w:rsidR="001F5143" w:rsidRPr="00AF1AF7" w:rsidTr="001F5143">
        <w:trPr>
          <w:tblHeader/>
        </w:trPr>
        <w:tc>
          <w:tcPr>
            <w:tcW w:w="83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85"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993"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94" w:type="pct"/>
            <w:shd w:val="clear" w:color="auto" w:fill="auto"/>
            <w:vAlign w:val="center"/>
          </w:tcPr>
          <w:p w:rsidR="000E74C6" w:rsidRPr="00AF1AF7" w:rsidRDefault="000E74C6" w:rsidP="001F5143">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1F5143" w:rsidRPr="00AF1AF7" w:rsidTr="00551BD2">
        <w:trPr>
          <w:trHeight w:val="4073"/>
        </w:trPr>
        <w:tc>
          <w:tcPr>
            <w:tcW w:w="832" w:type="pct"/>
            <w:shd w:val="clear" w:color="auto" w:fill="auto"/>
          </w:tcPr>
          <w:p w:rsidR="00345DBF" w:rsidRPr="00AE6526" w:rsidRDefault="00906457" w:rsidP="00906457">
            <w:pPr>
              <w:spacing w:line="360" w:lineRule="exact"/>
              <w:jc w:val="both"/>
              <w:rPr>
                <w:rFonts w:ascii="標楷體" w:eastAsia="標楷體" w:hAnsi="標楷體"/>
                <w:szCs w:val="24"/>
              </w:rPr>
            </w:pPr>
            <w:r w:rsidRPr="00AE6526">
              <w:rPr>
                <w:rFonts w:ascii="標楷體" w:eastAsia="標楷體" w:hAnsi="標楷體" w:hint="eastAsia"/>
                <w:szCs w:val="24"/>
              </w:rPr>
              <w:t>修正「</w:t>
            </w:r>
            <w:r w:rsidR="00345DBF" w:rsidRPr="00AE6526">
              <w:rPr>
                <w:rFonts w:ascii="標楷體" w:eastAsia="標楷體" w:hAnsi="標楷體" w:hint="eastAsia"/>
                <w:szCs w:val="24"/>
              </w:rPr>
              <w:t>現職公務人員調任辦法</w:t>
            </w:r>
            <w:r w:rsidRPr="00AE6526">
              <w:rPr>
                <w:rFonts w:ascii="標楷體" w:eastAsia="標楷體" w:hAnsi="標楷體" w:hint="eastAsia"/>
                <w:szCs w:val="24"/>
              </w:rPr>
              <w:t>」</w:t>
            </w:r>
          </w:p>
        </w:tc>
        <w:tc>
          <w:tcPr>
            <w:tcW w:w="1985" w:type="pct"/>
            <w:shd w:val="clear" w:color="auto" w:fill="auto"/>
          </w:tcPr>
          <w:p w:rsidR="00345DBF" w:rsidRPr="00906457" w:rsidRDefault="00906457" w:rsidP="00906457">
            <w:pPr>
              <w:spacing w:line="360" w:lineRule="exact"/>
              <w:ind w:firstLineChars="200" w:firstLine="480"/>
              <w:jc w:val="both"/>
              <w:rPr>
                <w:rFonts w:ascii="標楷體" w:eastAsia="標楷體" w:hAnsi="標楷體"/>
                <w:szCs w:val="24"/>
              </w:rPr>
            </w:pPr>
            <w:r w:rsidRPr="00906457">
              <w:rPr>
                <w:rFonts w:ascii="標楷體" w:eastAsia="標楷體" w:hAnsi="標楷體" w:hint="eastAsia"/>
                <w:szCs w:val="24"/>
              </w:rPr>
              <w:t>現職公務人員調任辦法</w:t>
            </w:r>
            <w:r w:rsidR="00345DBF" w:rsidRPr="00906457">
              <w:rPr>
                <w:rFonts w:ascii="標楷體" w:eastAsia="標楷體" w:hAnsi="標楷體" w:hint="eastAsia"/>
                <w:szCs w:val="24"/>
              </w:rPr>
              <w:t>第5條第3款及第6條第4款有關以學分認定職系專長，業增訂須最近10年所修習學分始得採計之規定，該學分採計年限事項，自106年2月1日施行；於同年1月31日前以學分認定職系專長並據以調任者，其所修習學分之採計則不受上開10年之年限限制。又依</w:t>
            </w:r>
            <w:r w:rsidRPr="00906457">
              <w:rPr>
                <w:rFonts w:ascii="標楷體" w:eastAsia="標楷體" w:hAnsi="標楷體" w:hint="eastAsia"/>
                <w:szCs w:val="24"/>
              </w:rPr>
              <w:t>上開</w:t>
            </w:r>
            <w:r w:rsidR="00345DBF" w:rsidRPr="00906457">
              <w:rPr>
                <w:rFonts w:ascii="標楷體" w:eastAsia="標楷體" w:hAnsi="標楷體" w:hint="eastAsia"/>
                <w:szCs w:val="24"/>
              </w:rPr>
              <w:t>調任辦法第10</w:t>
            </w:r>
            <w:r w:rsidRPr="00906457">
              <w:rPr>
                <w:rFonts w:ascii="標楷體" w:eastAsia="標楷體" w:hAnsi="標楷體" w:hint="eastAsia"/>
                <w:szCs w:val="24"/>
              </w:rPr>
              <w:t>條規定，自105</w:t>
            </w:r>
            <w:r w:rsidR="00345DBF" w:rsidRPr="00906457">
              <w:rPr>
                <w:rFonts w:ascii="標楷體" w:eastAsia="標楷體" w:hAnsi="標楷體" w:hint="eastAsia"/>
                <w:szCs w:val="24"/>
              </w:rPr>
              <w:t>年3月30日起依職組暨職系名稱一覽表備註欄規定調任及依該辦法認定職系專長取得現任職務之職系專長人員，於任該職組職系職務滿1年後，始得再調任視為同一職組之其他職組職系職務。</w:t>
            </w:r>
          </w:p>
        </w:tc>
        <w:tc>
          <w:tcPr>
            <w:tcW w:w="993"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銓敘部民國105年4月7日部法三字第1054086810號函</w:t>
            </w:r>
          </w:p>
        </w:tc>
        <w:tc>
          <w:tcPr>
            <w:tcW w:w="894"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臺中市政府民國105年4月11日府授人力字第1050072403號函</w:t>
            </w:r>
          </w:p>
        </w:tc>
        <w:tc>
          <w:tcPr>
            <w:tcW w:w="297"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551BD2">
        <w:trPr>
          <w:trHeight w:val="1977"/>
        </w:trPr>
        <w:tc>
          <w:tcPr>
            <w:tcW w:w="832" w:type="pct"/>
            <w:shd w:val="clear" w:color="auto" w:fill="auto"/>
          </w:tcPr>
          <w:p w:rsidR="00345DBF" w:rsidRPr="00AE6526" w:rsidRDefault="00974466" w:rsidP="00AE6526">
            <w:pPr>
              <w:spacing w:line="360" w:lineRule="exact"/>
              <w:jc w:val="both"/>
              <w:rPr>
                <w:rFonts w:ascii="標楷體" w:eastAsia="標楷體" w:hAnsi="標楷體"/>
                <w:szCs w:val="24"/>
              </w:rPr>
            </w:pPr>
            <w:r>
              <w:rPr>
                <w:rFonts w:ascii="標楷體" w:eastAsia="標楷體" w:hAnsi="標楷體" w:hint="eastAsia"/>
                <w:szCs w:val="24"/>
              </w:rPr>
              <w:t>公務人員考試及格人員分發辦法</w:t>
            </w:r>
            <w:r w:rsidR="00345DBF" w:rsidRPr="00AE6526">
              <w:rPr>
                <w:rFonts w:ascii="標楷體" w:eastAsia="標楷體" w:hAnsi="標楷體" w:hint="eastAsia"/>
                <w:szCs w:val="24"/>
              </w:rPr>
              <w:t>第2條、第15條業經考試院會同行政院於105年5月18日修正發布</w:t>
            </w:r>
          </w:p>
        </w:tc>
        <w:tc>
          <w:tcPr>
            <w:tcW w:w="1985" w:type="pct"/>
            <w:shd w:val="clear" w:color="auto" w:fill="auto"/>
          </w:tcPr>
          <w:p w:rsidR="00345DBF" w:rsidRPr="00AE6526" w:rsidRDefault="00345DBF" w:rsidP="00906457">
            <w:pPr>
              <w:spacing w:line="360" w:lineRule="exact"/>
              <w:jc w:val="both"/>
              <w:rPr>
                <w:rFonts w:ascii="標楷體" w:eastAsia="標楷體" w:hAnsi="標楷體"/>
                <w:szCs w:val="24"/>
              </w:rPr>
            </w:pPr>
            <w:r w:rsidRPr="00AE6526">
              <w:rPr>
                <w:rFonts w:ascii="標楷體" w:eastAsia="標楷體" w:hAnsi="標楷體" w:hint="eastAsia"/>
                <w:szCs w:val="24"/>
              </w:rPr>
              <w:t>因應考試院賡續推動未占缺訓練之最新實務需要，並配合105年2月5日修正發布之公務人員考試錄取訓練辦法各條文內未再有「占缺訓練」或「未占缺訓練」之規範文字，</w:t>
            </w:r>
            <w:r w:rsidR="00906457">
              <w:rPr>
                <w:rFonts w:ascii="標楷體" w:eastAsia="標楷體" w:hAnsi="標楷體" w:hint="eastAsia"/>
                <w:szCs w:val="24"/>
              </w:rPr>
              <w:t>爰</w:t>
            </w:r>
            <w:r w:rsidRPr="00AE6526">
              <w:rPr>
                <w:rFonts w:ascii="標楷體" w:eastAsia="標楷體" w:hAnsi="標楷體" w:hint="eastAsia"/>
                <w:szCs w:val="24"/>
              </w:rPr>
              <w:t>修正第2條及第15條相關規定。</w:t>
            </w:r>
          </w:p>
        </w:tc>
        <w:tc>
          <w:tcPr>
            <w:tcW w:w="993"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行政院人事行政總處民國105年5月18日總處培字第10500421232號函</w:t>
            </w:r>
          </w:p>
        </w:tc>
        <w:tc>
          <w:tcPr>
            <w:tcW w:w="894"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臺中市政府民國105年5月19日府授人力字第1050106132號函</w:t>
            </w:r>
          </w:p>
        </w:tc>
        <w:tc>
          <w:tcPr>
            <w:tcW w:w="297"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551BD2">
        <w:trPr>
          <w:trHeight w:val="1389"/>
        </w:trPr>
        <w:tc>
          <w:tcPr>
            <w:tcW w:w="832"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有關公務人員考試錄取人員訓練期間之倫理規範，比照公務員服務法及相關法令規定辦理</w:t>
            </w:r>
            <w:r w:rsidR="005F2925">
              <w:rPr>
                <w:rFonts w:ascii="標楷體" w:eastAsia="標楷體" w:hAnsi="標楷體" w:hint="eastAsia"/>
                <w:szCs w:val="24"/>
              </w:rPr>
              <w:t>。</w:t>
            </w:r>
          </w:p>
        </w:tc>
        <w:tc>
          <w:tcPr>
            <w:tcW w:w="1985"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按銓敘部82年7月9日82台華法一字第0868706號函釋，公務人員考試錄取人員於訓練期間，宜視為服務法所稱之公務員。現服務法主管機關銓敘部雖以105年5月3日部法一字第10541015751號令，停止適用該部82年7月9日上開函。惟以考試錄取人員訓練期間係屬轉銜成為正式公務人員之階段，服務法</w:t>
            </w:r>
            <w:r w:rsidRPr="00AE6526">
              <w:rPr>
                <w:rFonts w:ascii="標楷體" w:eastAsia="標楷體" w:hAnsi="標楷體" w:hint="eastAsia"/>
                <w:szCs w:val="24"/>
              </w:rPr>
              <w:lastRenderedPageBreak/>
              <w:t>揭櫫之各種義務（例如：忠實、服從、保密、保持品位、堅守崗位、經商之禁止、兼職之限制、保管文書財務之責任…等），仍有遵守之必要。考試錄取人員訓練期間之倫理規範，仍比照服務法及相關法令規定辦理。</w:t>
            </w:r>
          </w:p>
        </w:tc>
        <w:tc>
          <w:tcPr>
            <w:tcW w:w="993"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lastRenderedPageBreak/>
              <w:t>公務人員保障暨培訓委員會民國105年5月18日公訓字第1052160447號函</w:t>
            </w:r>
          </w:p>
        </w:tc>
        <w:tc>
          <w:tcPr>
            <w:tcW w:w="894"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臺中市政府民國105年5月19日府授人力字第1050106492號函</w:t>
            </w:r>
          </w:p>
        </w:tc>
        <w:tc>
          <w:tcPr>
            <w:tcW w:w="297"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1F5143">
        <w:trPr>
          <w:trHeight w:val="396"/>
        </w:trPr>
        <w:tc>
          <w:tcPr>
            <w:tcW w:w="832" w:type="pct"/>
            <w:shd w:val="clear" w:color="auto" w:fill="auto"/>
          </w:tcPr>
          <w:p w:rsidR="00345DBF" w:rsidRPr="00AE6526" w:rsidRDefault="001F5143" w:rsidP="001F5143">
            <w:pPr>
              <w:spacing w:line="360" w:lineRule="exact"/>
              <w:jc w:val="both"/>
              <w:rPr>
                <w:rFonts w:ascii="標楷體" w:eastAsia="標楷體" w:hAnsi="標楷體"/>
                <w:szCs w:val="24"/>
              </w:rPr>
            </w:pPr>
            <w:r w:rsidRPr="00AE6526">
              <w:rPr>
                <w:rFonts w:ascii="標楷體" w:eastAsia="標楷體" w:hAnsi="標楷體" w:hint="eastAsia"/>
                <w:szCs w:val="24"/>
              </w:rPr>
              <w:lastRenderedPageBreak/>
              <w:t>修正</w:t>
            </w:r>
            <w:r w:rsidR="00345DBF" w:rsidRPr="00AE6526">
              <w:rPr>
                <w:rFonts w:ascii="標楷體" w:eastAsia="標楷體" w:hAnsi="標楷體" w:hint="eastAsia"/>
                <w:szCs w:val="24"/>
              </w:rPr>
              <w:t>「高科技或稀少性工作類科標準」</w:t>
            </w:r>
          </w:p>
        </w:tc>
        <w:tc>
          <w:tcPr>
            <w:tcW w:w="1985" w:type="pct"/>
            <w:shd w:val="clear" w:color="auto" w:fill="auto"/>
          </w:tcPr>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修正重點如下：</w:t>
            </w:r>
          </w:p>
          <w:p w:rsidR="00345DBF" w:rsidRPr="00AE6526" w:rsidRDefault="00345DBF" w:rsidP="00AE6526">
            <w:pPr>
              <w:pStyle w:val="ad"/>
              <w:numPr>
                <w:ilvl w:val="0"/>
                <w:numId w:val="30"/>
              </w:numPr>
              <w:spacing w:line="360" w:lineRule="exact"/>
              <w:ind w:leftChars="0" w:left="480" w:hangingChars="200" w:hanging="480"/>
              <w:jc w:val="both"/>
              <w:rPr>
                <w:rFonts w:ascii="標楷體" w:eastAsia="標楷體" w:hAnsi="標楷體"/>
                <w:szCs w:val="24"/>
              </w:rPr>
            </w:pPr>
            <w:r w:rsidRPr="00AE6526">
              <w:rPr>
                <w:rFonts w:ascii="標楷體" w:eastAsia="標楷體" w:hAnsi="標楷體" w:hint="eastAsia"/>
                <w:szCs w:val="24"/>
              </w:rPr>
              <w:t>配合公務人員考試法於103年1月22日以總統華總一義字第03897號令修正公布，修正本標準法律授權條文。</w:t>
            </w:r>
          </w:p>
          <w:p w:rsidR="00345DBF" w:rsidRPr="00AE6526" w:rsidRDefault="00345DBF" w:rsidP="00AE6526">
            <w:pPr>
              <w:pStyle w:val="ad"/>
              <w:numPr>
                <w:ilvl w:val="0"/>
                <w:numId w:val="30"/>
              </w:numPr>
              <w:spacing w:line="360" w:lineRule="exact"/>
              <w:ind w:leftChars="0" w:left="480" w:hangingChars="200" w:hanging="480"/>
              <w:jc w:val="both"/>
              <w:rPr>
                <w:rFonts w:ascii="標楷體" w:eastAsia="標楷體" w:hAnsi="標楷體"/>
                <w:szCs w:val="24"/>
              </w:rPr>
            </w:pPr>
            <w:r w:rsidRPr="00AE6526">
              <w:rPr>
                <w:rFonts w:ascii="標楷體" w:eastAsia="標楷體" w:hAnsi="標楷體" w:hint="eastAsia"/>
                <w:szCs w:val="24"/>
              </w:rPr>
              <w:t>增列用人機關申請新類科時應敘明各款內容，包括：工作內容、職務所需具備之核心能力及與新增類科之關聯性、類科名稱、職系、考試等級、應考資格及應試科目等，同時修正附表。</w:t>
            </w:r>
          </w:p>
          <w:p w:rsidR="00345DBF" w:rsidRPr="00AE6526" w:rsidRDefault="00345DBF" w:rsidP="008E2C2E">
            <w:pPr>
              <w:pStyle w:val="ad"/>
              <w:numPr>
                <w:ilvl w:val="0"/>
                <w:numId w:val="30"/>
              </w:numPr>
              <w:spacing w:line="360" w:lineRule="exact"/>
              <w:ind w:leftChars="0" w:left="480" w:hangingChars="200" w:hanging="480"/>
              <w:jc w:val="both"/>
              <w:rPr>
                <w:rFonts w:ascii="標楷體" w:eastAsia="標楷體" w:hAnsi="標楷體"/>
                <w:szCs w:val="24"/>
              </w:rPr>
            </w:pPr>
            <w:r w:rsidRPr="00AE6526">
              <w:rPr>
                <w:rFonts w:ascii="標楷體" w:eastAsia="標楷體" w:hAnsi="標楷體" w:hint="eastAsia"/>
                <w:szCs w:val="24"/>
              </w:rPr>
              <w:t>規定用人機關提出新增類科之行政作業程序，以及經准予設置之工作類科應每三年至少檢討一次。</w:t>
            </w:r>
          </w:p>
          <w:p w:rsidR="00345DBF" w:rsidRPr="00AE6526" w:rsidRDefault="00345DBF" w:rsidP="008E2C2E">
            <w:pPr>
              <w:pStyle w:val="ad"/>
              <w:numPr>
                <w:ilvl w:val="0"/>
                <w:numId w:val="30"/>
              </w:numPr>
              <w:spacing w:line="360" w:lineRule="exact"/>
              <w:ind w:leftChars="0" w:left="480" w:hangingChars="200" w:hanging="480"/>
              <w:jc w:val="both"/>
              <w:rPr>
                <w:rFonts w:ascii="標楷體" w:eastAsia="標楷體" w:hAnsi="標楷體"/>
                <w:szCs w:val="24"/>
              </w:rPr>
            </w:pPr>
            <w:r w:rsidRPr="00AE6526">
              <w:rPr>
                <w:rFonts w:ascii="標楷體" w:eastAsia="標楷體" w:hAnsi="標楷體" w:hint="eastAsia"/>
                <w:szCs w:val="24"/>
              </w:rPr>
              <w:t>規定高科技、稀少性工作類之審核標準，以為未來審核之依據。</w:t>
            </w:r>
          </w:p>
        </w:tc>
        <w:tc>
          <w:tcPr>
            <w:tcW w:w="993"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行政院人事行政總處民國105年5月19日總處培字第10500422692號函</w:t>
            </w:r>
          </w:p>
        </w:tc>
        <w:tc>
          <w:tcPr>
            <w:tcW w:w="894" w:type="pct"/>
            <w:shd w:val="clear" w:color="auto" w:fill="auto"/>
          </w:tcPr>
          <w:p w:rsidR="00345DBF" w:rsidRPr="00AE6526" w:rsidRDefault="00345DBF" w:rsidP="00AE6526">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臺中市政府民國105年5月20日府授人力字第1050106990號函</w:t>
            </w:r>
          </w:p>
        </w:tc>
        <w:tc>
          <w:tcPr>
            <w:tcW w:w="297"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1F5143">
        <w:trPr>
          <w:trHeight w:val="2665"/>
        </w:trPr>
        <w:tc>
          <w:tcPr>
            <w:tcW w:w="832" w:type="pct"/>
            <w:shd w:val="clear" w:color="auto" w:fill="auto"/>
          </w:tcPr>
          <w:p w:rsidR="00345DBF" w:rsidRPr="00AE6526" w:rsidRDefault="005F2925" w:rsidP="00AE6526">
            <w:pPr>
              <w:spacing w:line="360" w:lineRule="exact"/>
              <w:jc w:val="both"/>
              <w:rPr>
                <w:rFonts w:ascii="標楷體" w:eastAsia="標楷體" w:hAnsi="標楷體"/>
                <w:szCs w:val="24"/>
              </w:rPr>
            </w:pPr>
            <w:r w:rsidRPr="005F2925">
              <w:rPr>
                <w:rFonts w:ascii="標楷體" w:eastAsia="標楷體" w:hAnsi="標楷體" w:hint="eastAsia"/>
                <w:szCs w:val="24"/>
              </w:rPr>
              <w:lastRenderedPageBreak/>
              <w:t>訂定</w:t>
            </w:r>
            <w:r w:rsidRPr="00AE6526">
              <w:rPr>
                <w:rFonts w:ascii="標楷體" w:eastAsia="標楷體" w:hAnsi="標楷體" w:hint="eastAsia"/>
                <w:szCs w:val="24"/>
              </w:rPr>
              <w:t>「</w:t>
            </w:r>
            <w:r w:rsidR="00345DBF" w:rsidRPr="00AE6526">
              <w:rPr>
                <w:rFonts w:ascii="標楷體" w:eastAsia="標楷體" w:hAnsi="標楷體" w:hint="eastAsia"/>
                <w:szCs w:val="24"/>
              </w:rPr>
              <w:t>105年公務人員特種考試原住民族考試錄取人員訓練計畫</w:t>
            </w:r>
            <w:r w:rsidRPr="00AE6526">
              <w:rPr>
                <w:rFonts w:ascii="標楷體" w:eastAsia="標楷體" w:hAnsi="標楷體" w:hint="eastAsia"/>
                <w:szCs w:val="24"/>
              </w:rPr>
              <w:t>」</w:t>
            </w:r>
          </w:p>
        </w:tc>
        <w:tc>
          <w:tcPr>
            <w:tcW w:w="1985" w:type="pct"/>
            <w:shd w:val="clear" w:color="auto" w:fill="auto"/>
          </w:tcPr>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規定重點如下：</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一、訓練類別及重點(期間、對象、經費等)。</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二、申請保留受訓資格、申請補訓及重新訓練。</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三、申請免除基礎訓練、申請縮短實務訓練。</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四、調訓程序、受訓人員權益。</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五、訓練方式(生活輔導、請假規定、成績考核等)。</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六、請領考試及格證書。</w:t>
            </w:r>
          </w:p>
          <w:p w:rsidR="00345DBF" w:rsidRPr="00AE6526" w:rsidRDefault="00345DBF" w:rsidP="00AE6526">
            <w:pPr>
              <w:spacing w:line="360" w:lineRule="exact"/>
              <w:ind w:left="454" w:hangingChars="189" w:hanging="454"/>
              <w:jc w:val="both"/>
              <w:rPr>
                <w:rFonts w:ascii="標楷體" w:eastAsia="標楷體" w:hAnsi="標楷體"/>
                <w:szCs w:val="24"/>
              </w:rPr>
            </w:pPr>
            <w:r w:rsidRPr="00AE6526">
              <w:rPr>
                <w:rFonts w:ascii="標楷體" w:eastAsia="標楷體" w:hAnsi="標楷體" w:hint="eastAsia"/>
                <w:szCs w:val="24"/>
              </w:rPr>
              <w:t>七、廢止受訓資格、停止訓練之情形。</w:t>
            </w:r>
          </w:p>
        </w:tc>
        <w:tc>
          <w:tcPr>
            <w:tcW w:w="993" w:type="pct"/>
            <w:shd w:val="clear" w:color="auto" w:fill="auto"/>
          </w:tcPr>
          <w:p w:rsidR="00345DBF" w:rsidRPr="00AE6526" w:rsidRDefault="00345DBF" w:rsidP="001F5143">
            <w:pPr>
              <w:spacing w:line="360" w:lineRule="exact"/>
              <w:jc w:val="both"/>
              <w:rPr>
                <w:rFonts w:ascii="標楷體" w:eastAsia="標楷體" w:hAnsi="標楷體"/>
                <w:szCs w:val="24"/>
              </w:rPr>
            </w:pPr>
            <w:r w:rsidRPr="00AE6526">
              <w:rPr>
                <w:rFonts w:ascii="標楷體" w:eastAsia="標楷體" w:hAnsi="標楷體" w:hint="eastAsia"/>
                <w:szCs w:val="24"/>
              </w:rPr>
              <w:t>原住民族委員會民國105年5月20日原民人字第1050030128號函</w:t>
            </w:r>
          </w:p>
        </w:tc>
        <w:tc>
          <w:tcPr>
            <w:tcW w:w="894" w:type="pct"/>
            <w:shd w:val="clear" w:color="auto" w:fill="auto"/>
          </w:tcPr>
          <w:p w:rsidR="00345DBF" w:rsidRPr="00AE6526" w:rsidRDefault="00345DBF" w:rsidP="001F5143">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臺中市政府民國105年5月24日府授人力字第1050109507號函</w:t>
            </w:r>
          </w:p>
        </w:tc>
        <w:tc>
          <w:tcPr>
            <w:tcW w:w="297"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6F516B">
        <w:trPr>
          <w:trHeight w:val="2239"/>
        </w:trPr>
        <w:tc>
          <w:tcPr>
            <w:tcW w:w="832" w:type="pct"/>
            <w:shd w:val="clear" w:color="auto" w:fill="auto"/>
          </w:tcPr>
          <w:p w:rsidR="00C354B0" w:rsidRPr="00AE6526" w:rsidRDefault="005F2925" w:rsidP="008540C2">
            <w:pPr>
              <w:spacing w:line="360" w:lineRule="exact"/>
              <w:rPr>
                <w:rFonts w:ascii="標楷體" w:eastAsia="標楷體" w:hAnsi="標楷體"/>
                <w:szCs w:val="24"/>
              </w:rPr>
            </w:pPr>
            <w:r w:rsidRPr="00AE6526">
              <w:rPr>
                <w:rFonts w:ascii="標楷體" w:eastAsia="標楷體" w:hAnsi="標楷體" w:hint="eastAsia"/>
                <w:snapToGrid w:val="0"/>
                <w:color w:val="000000"/>
                <w:szCs w:val="24"/>
              </w:rPr>
              <w:t>修正</w:t>
            </w:r>
            <w:r w:rsidRPr="00AE6526">
              <w:rPr>
                <w:rFonts w:ascii="標楷體" w:eastAsia="標楷體" w:hAnsi="標楷體" w:hint="eastAsia"/>
                <w:szCs w:val="24"/>
              </w:rPr>
              <w:t>「</w:t>
            </w:r>
            <w:r w:rsidR="00C354B0" w:rsidRPr="00AE6526">
              <w:rPr>
                <w:rFonts w:ascii="標楷體" w:eastAsia="標楷體" w:hAnsi="標楷體" w:hint="eastAsia"/>
                <w:bCs/>
                <w:color w:val="000000"/>
                <w:szCs w:val="24"/>
              </w:rPr>
              <w:t>臺中市政府及所屬各機關學校公務人員平時獎懲案件處理原則</w:t>
            </w:r>
            <w:r w:rsidRPr="00AE6526">
              <w:rPr>
                <w:rFonts w:ascii="標楷體" w:eastAsia="標楷體" w:hAnsi="標楷體" w:hint="eastAsia"/>
                <w:szCs w:val="24"/>
              </w:rPr>
              <w:t>」</w:t>
            </w:r>
          </w:p>
        </w:tc>
        <w:tc>
          <w:tcPr>
            <w:tcW w:w="1985" w:type="pct"/>
            <w:shd w:val="clear" w:color="auto" w:fill="auto"/>
          </w:tcPr>
          <w:p w:rsidR="006F516B" w:rsidRPr="00AE6526" w:rsidRDefault="00C354B0" w:rsidP="006F516B">
            <w:pPr>
              <w:spacing w:line="360" w:lineRule="exact"/>
              <w:ind w:firstLineChars="200" w:firstLine="480"/>
              <w:jc w:val="both"/>
              <w:rPr>
                <w:rFonts w:ascii="標楷體" w:eastAsia="標楷體" w:hAnsi="標楷體"/>
                <w:szCs w:val="24"/>
              </w:rPr>
            </w:pPr>
            <w:r w:rsidRPr="00AE6526">
              <w:rPr>
                <w:rFonts w:ascii="標楷體" w:eastAsia="標楷體" w:hAnsi="標楷體"/>
                <w:snapToGrid w:val="0"/>
                <w:color w:val="000000"/>
                <w:szCs w:val="24"/>
              </w:rPr>
              <w:t>公務員懲戒法</w:t>
            </w:r>
            <w:r w:rsidRPr="00AE6526">
              <w:rPr>
                <w:rFonts w:ascii="標楷體" w:eastAsia="標楷體" w:hAnsi="標楷體" w:hint="eastAsia"/>
                <w:snapToGrid w:val="0"/>
                <w:color w:val="000000"/>
                <w:szCs w:val="24"/>
              </w:rPr>
              <w:t>104</w:t>
            </w:r>
            <w:r w:rsidRPr="00AE6526">
              <w:rPr>
                <w:rFonts w:ascii="標楷體" w:eastAsia="標楷體" w:hAnsi="標楷體"/>
                <w:snapToGrid w:val="0"/>
                <w:color w:val="000000"/>
                <w:szCs w:val="24"/>
              </w:rPr>
              <w:t>年</w:t>
            </w:r>
            <w:r w:rsidRPr="00AE6526">
              <w:rPr>
                <w:rFonts w:ascii="標楷體" w:eastAsia="標楷體" w:hAnsi="標楷體" w:hint="eastAsia"/>
                <w:snapToGrid w:val="0"/>
                <w:color w:val="000000"/>
                <w:szCs w:val="24"/>
              </w:rPr>
              <w:t>5</w:t>
            </w:r>
            <w:r w:rsidRPr="00AE6526">
              <w:rPr>
                <w:rFonts w:ascii="標楷體" w:eastAsia="標楷體" w:hAnsi="標楷體"/>
                <w:snapToGrid w:val="0"/>
                <w:color w:val="000000"/>
                <w:szCs w:val="24"/>
              </w:rPr>
              <w:t>月</w:t>
            </w:r>
            <w:r w:rsidRPr="00AE6526">
              <w:rPr>
                <w:rFonts w:ascii="標楷體" w:eastAsia="標楷體" w:hAnsi="標楷體" w:hint="eastAsia"/>
                <w:snapToGrid w:val="0"/>
                <w:color w:val="000000"/>
                <w:szCs w:val="24"/>
              </w:rPr>
              <w:t>20</w:t>
            </w:r>
            <w:r w:rsidRPr="00AE6526">
              <w:rPr>
                <w:rFonts w:ascii="標楷體" w:eastAsia="標楷體" w:hAnsi="標楷體"/>
                <w:snapToGrid w:val="0"/>
                <w:color w:val="000000"/>
                <w:szCs w:val="24"/>
              </w:rPr>
              <w:t>日修正公布，自</w:t>
            </w:r>
            <w:r w:rsidRPr="00AE6526">
              <w:rPr>
                <w:rFonts w:ascii="標楷體" w:eastAsia="標楷體" w:hAnsi="標楷體" w:hint="eastAsia"/>
                <w:snapToGrid w:val="0"/>
                <w:color w:val="000000"/>
                <w:szCs w:val="24"/>
              </w:rPr>
              <w:t>105</w:t>
            </w:r>
            <w:r w:rsidRPr="00AE6526">
              <w:rPr>
                <w:rFonts w:ascii="標楷體" w:eastAsia="標楷體" w:hAnsi="標楷體"/>
                <w:snapToGrid w:val="0"/>
                <w:color w:val="000000"/>
                <w:szCs w:val="24"/>
              </w:rPr>
              <w:t>年</w:t>
            </w:r>
            <w:r w:rsidRPr="00AE6526">
              <w:rPr>
                <w:rFonts w:ascii="標楷體" w:eastAsia="標楷體" w:hAnsi="標楷體" w:hint="eastAsia"/>
                <w:snapToGrid w:val="0"/>
                <w:color w:val="000000"/>
                <w:szCs w:val="24"/>
              </w:rPr>
              <w:t>5</w:t>
            </w:r>
            <w:r w:rsidRPr="00AE6526">
              <w:rPr>
                <w:rFonts w:ascii="標楷體" w:eastAsia="標楷體" w:hAnsi="標楷體"/>
                <w:snapToGrid w:val="0"/>
                <w:color w:val="000000"/>
                <w:szCs w:val="24"/>
              </w:rPr>
              <w:t>月</w:t>
            </w:r>
            <w:r w:rsidRPr="00AE6526">
              <w:rPr>
                <w:rFonts w:ascii="標楷體" w:eastAsia="標楷體" w:hAnsi="標楷體" w:hint="eastAsia"/>
                <w:snapToGrid w:val="0"/>
                <w:color w:val="000000"/>
                <w:szCs w:val="24"/>
              </w:rPr>
              <w:t>2</w:t>
            </w:r>
            <w:r w:rsidRPr="00AE6526">
              <w:rPr>
                <w:rFonts w:ascii="標楷體" w:eastAsia="標楷體" w:hAnsi="標楷體"/>
                <w:snapToGrid w:val="0"/>
                <w:color w:val="000000"/>
                <w:szCs w:val="24"/>
              </w:rPr>
              <w:t>日施行，</w:t>
            </w:r>
            <w:r w:rsidRPr="00AE6526">
              <w:rPr>
                <w:rFonts w:ascii="標楷體" w:eastAsia="標楷體" w:hAnsi="標楷體" w:hint="eastAsia"/>
                <w:snapToGrid w:val="0"/>
                <w:color w:val="000000"/>
                <w:szCs w:val="24"/>
              </w:rPr>
              <w:t>因應其條文條次變更，爰配合修正</w:t>
            </w:r>
            <w:r w:rsidR="005F2925" w:rsidRPr="00AE6526">
              <w:rPr>
                <w:rFonts w:ascii="標楷體" w:eastAsia="標楷體" w:hAnsi="標楷體" w:hint="eastAsia"/>
                <w:bCs/>
                <w:color w:val="000000"/>
                <w:szCs w:val="24"/>
              </w:rPr>
              <w:t>臺中市政府及所屬各機關學校公務人員平時獎懲案件處理原則</w:t>
            </w:r>
            <w:r w:rsidRPr="00AE6526">
              <w:rPr>
                <w:rFonts w:ascii="標楷體" w:eastAsia="標楷體" w:hAnsi="標楷體" w:hint="eastAsia"/>
                <w:snapToGrid w:val="0"/>
                <w:color w:val="000000"/>
                <w:szCs w:val="24"/>
              </w:rPr>
              <w:t>第13點</w:t>
            </w:r>
            <w:r w:rsidRPr="00AE6526">
              <w:rPr>
                <w:rFonts w:ascii="標楷體" w:eastAsia="標楷體" w:hAnsi="標楷體" w:hint="eastAsia"/>
                <w:bCs/>
                <w:color w:val="000000"/>
                <w:szCs w:val="24"/>
              </w:rPr>
              <w:t>；另第9點附表第4點其他獎勵標準，</w:t>
            </w:r>
            <w:r w:rsidRPr="00AE6526">
              <w:rPr>
                <w:rFonts w:ascii="標楷體" w:eastAsia="標楷體" w:hAnsi="標楷體" w:hint="eastAsia"/>
                <w:snapToGrid w:val="0"/>
                <w:color w:val="000000"/>
                <w:szCs w:val="24"/>
              </w:rPr>
              <w:t>現職人員連續代理職務期間一個月以上之敘獎，考量實務執行需要，將一個月修正為四週。</w:t>
            </w:r>
          </w:p>
        </w:tc>
        <w:tc>
          <w:tcPr>
            <w:tcW w:w="993" w:type="pct"/>
            <w:shd w:val="clear" w:color="auto" w:fill="auto"/>
          </w:tcPr>
          <w:p w:rsidR="00C354B0" w:rsidRPr="00AE6526" w:rsidRDefault="00C354B0" w:rsidP="008540C2">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臺中市政府民國105年5月2日府授人考字第1050092120號函</w:t>
            </w:r>
          </w:p>
        </w:tc>
        <w:tc>
          <w:tcPr>
            <w:tcW w:w="894" w:type="pct"/>
            <w:shd w:val="clear" w:color="auto" w:fill="auto"/>
          </w:tcPr>
          <w:p w:rsidR="00C354B0" w:rsidRPr="00AE6526" w:rsidRDefault="00C354B0" w:rsidP="008540C2">
            <w:pPr>
              <w:spacing w:line="360" w:lineRule="exact"/>
              <w:rPr>
                <w:rFonts w:ascii="標楷體" w:eastAsia="標楷體" w:hAnsi="標楷體"/>
                <w:szCs w:val="24"/>
              </w:rPr>
            </w:pPr>
          </w:p>
        </w:tc>
        <w:tc>
          <w:tcPr>
            <w:tcW w:w="297" w:type="pct"/>
            <w:shd w:val="clear" w:color="auto" w:fill="auto"/>
            <w:vAlign w:val="center"/>
          </w:tcPr>
          <w:p w:rsidR="00C354B0" w:rsidRPr="000825AB" w:rsidRDefault="00C354B0" w:rsidP="0075509D">
            <w:pPr>
              <w:spacing w:line="360" w:lineRule="exact"/>
              <w:jc w:val="both"/>
              <w:rPr>
                <w:rFonts w:ascii="標楷體" w:eastAsia="標楷體" w:hAnsi="標楷體"/>
                <w:color w:val="FF0000"/>
                <w:szCs w:val="24"/>
              </w:rPr>
            </w:pPr>
          </w:p>
        </w:tc>
      </w:tr>
      <w:tr w:rsidR="001F5143" w:rsidRPr="00AF1AF7" w:rsidTr="00A47D6F">
        <w:trPr>
          <w:trHeight w:val="963"/>
        </w:trPr>
        <w:tc>
          <w:tcPr>
            <w:tcW w:w="832" w:type="pct"/>
            <w:shd w:val="clear" w:color="auto" w:fill="auto"/>
          </w:tcPr>
          <w:p w:rsidR="00C354B0" w:rsidRDefault="00C354B0" w:rsidP="00AE6526">
            <w:pPr>
              <w:spacing w:line="360" w:lineRule="exact"/>
              <w:jc w:val="both"/>
              <w:rPr>
                <w:rFonts w:ascii="標楷體" w:eastAsia="標楷體" w:hAnsi="標楷體" w:hint="eastAsia"/>
                <w:szCs w:val="24"/>
              </w:rPr>
            </w:pPr>
            <w:r w:rsidRPr="00AE6526">
              <w:rPr>
                <w:rFonts w:ascii="標楷體" w:eastAsia="標楷體" w:hAnsi="標楷體" w:hint="eastAsia"/>
                <w:szCs w:val="24"/>
              </w:rPr>
              <w:t>自民國106年1月1日以後始任公務人員者，其曾任12大類服務於政府機關(構)、公立學校之年資，得採計為公務人員休假年資；至公務人員於民國106年1月1日前已依原規定核定有案之休假年資仍予維</w:t>
            </w:r>
            <w:r w:rsidRPr="00AE6526">
              <w:rPr>
                <w:rFonts w:ascii="標楷體" w:eastAsia="標楷體" w:hAnsi="標楷體" w:hint="eastAsia"/>
                <w:szCs w:val="24"/>
              </w:rPr>
              <w:lastRenderedPageBreak/>
              <w:t>持乙案</w:t>
            </w:r>
            <w:r w:rsidR="008E2C2E" w:rsidRPr="00BF4159">
              <w:rPr>
                <w:rFonts w:ascii="標楷體" w:eastAsia="標楷體" w:hAnsi="標楷體" w:hint="eastAsia"/>
                <w:szCs w:val="24"/>
              </w:rPr>
              <w:t>。</w:t>
            </w:r>
          </w:p>
          <w:p w:rsidR="006F516B" w:rsidRPr="00AE6526" w:rsidRDefault="006F516B" w:rsidP="00AE6526">
            <w:pPr>
              <w:spacing w:line="360" w:lineRule="exact"/>
              <w:jc w:val="both"/>
              <w:rPr>
                <w:rFonts w:ascii="標楷體" w:eastAsia="標楷體" w:hAnsi="標楷體"/>
                <w:szCs w:val="24"/>
              </w:rPr>
            </w:pPr>
          </w:p>
        </w:tc>
        <w:tc>
          <w:tcPr>
            <w:tcW w:w="1985" w:type="pct"/>
            <w:shd w:val="clear" w:color="auto" w:fill="auto"/>
          </w:tcPr>
          <w:p w:rsidR="006F516B" w:rsidRPr="006F516B" w:rsidRDefault="006F516B" w:rsidP="006F516B">
            <w:pPr>
              <w:spacing w:line="360" w:lineRule="exact"/>
              <w:ind w:left="46"/>
              <w:jc w:val="both"/>
              <w:rPr>
                <w:rFonts w:ascii="標楷體" w:eastAsia="標楷體" w:hAnsi="標楷體" w:hint="eastAsia"/>
                <w:szCs w:val="24"/>
              </w:rPr>
            </w:pPr>
            <w:r>
              <w:rPr>
                <w:rFonts w:ascii="標楷體" w:eastAsia="標楷體" w:hAnsi="標楷體" w:hint="eastAsia"/>
                <w:szCs w:val="24"/>
              </w:rPr>
              <w:lastRenderedPageBreak/>
              <w:t>得採計為公務人員休假年資如下：</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經銓敘部銓敘審定有案之年資。</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政務人員年資。</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民選地方行政機關首長年資。</w:t>
            </w:r>
          </w:p>
          <w:p w:rsidR="00C354B0" w:rsidRPr="00AE6526" w:rsidRDefault="00C354B0" w:rsidP="00BF4159">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公營事業機構具公務員身分之年資。</w:t>
            </w:r>
          </w:p>
          <w:p w:rsidR="00C354B0" w:rsidRPr="00AE6526" w:rsidRDefault="00C354B0" w:rsidP="00BF4159">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公立訓練、矯正機構職業訓練師年資。</w:t>
            </w:r>
          </w:p>
          <w:p w:rsidR="00C354B0" w:rsidRPr="00AE6526" w:rsidRDefault="00C354B0" w:rsidP="00BF4159">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公立社會教育、文化機構專業人員及公立學術研究機構研究人員年資。</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各機關(構)依組織法規所定得準用或比照教育人員任用條例聘任之年資。</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lastRenderedPageBreak/>
              <w:t>依法令任官有案之軍職年資</w:t>
            </w:r>
            <w:r w:rsidR="00695E73" w:rsidRPr="00AE6526">
              <w:rPr>
                <w:rFonts w:ascii="標楷體" w:eastAsia="標楷體" w:hAnsi="標楷體" w:hint="eastAsia"/>
                <w:szCs w:val="24"/>
              </w:rPr>
              <w:t>。</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依法應徵入伍服役之年資。</w:t>
            </w:r>
          </w:p>
          <w:p w:rsidR="00C354B0" w:rsidRPr="00AE6526" w:rsidRDefault="00C354B0" w:rsidP="00AE6526">
            <w:pPr>
              <w:pStyle w:val="ad"/>
              <w:numPr>
                <w:ilvl w:val="0"/>
                <w:numId w:val="35"/>
              </w:numPr>
              <w:spacing w:line="360" w:lineRule="exact"/>
              <w:ind w:leftChars="0" w:left="510" w:hanging="510"/>
              <w:jc w:val="both"/>
              <w:rPr>
                <w:rFonts w:ascii="標楷體" w:eastAsia="標楷體" w:hAnsi="標楷體"/>
                <w:szCs w:val="24"/>
              </w:rPr>
            </w:pPr>
            <w:r w:rsidRPr="00AE6526">
              <w:rPr>
                <w:rFonts w:ascii="標楷體" w:eastAsia="標楷體" w:hAnsi="標楷體" w:hint="eastAsia"/>
                <w:szCs w:val="24"/>
              </w:rPr>
              <w:t>公立學校依教育人員任用條例進用之教育人員年資。</w:t>
            </w:r>
          </w:p>
          <w:p w:rsidR="00C354B0" w:rsidRPr="00AE6526" w:rsidRDefault="00C354B0" w:rsidP="00AE6526">
            <w:pPr>
              <w:pStyle w:val="ad"/>
              <w:numPr>
                <w:ilvl w:val="0"/>
                <w:numId w:val="35"/>
              </w:numPr>
              <w:spacing w:line="360" w:lineRule="exact"/>
              <w:ind w:leftChars="0" w:left="737" w:hanging="737"/>
              <w:jc w:val="both"/>
              <w:rPr>
                <w:rFonts w:ascii="標楷體" w:eastAsia="標楷體" w:hAnsi="標楷體"/>
                <w:szCs w:val="24"/>
              </w:rPr>
            </w:pPr>
            <w:r w:rsidRPr="00AE6526">
              <w:rPr>
                <w:rFonts w:ascii="標楷體" w:eastAsia="標楷體" w:hAnsi="標楷體" w:hint="eastAsia"/>
                <w:szCs w:val="24"/>
              </w:rPr>
              <w:t>依聘用人員聘用條例、行政院所屬機關約僱人員僱用辦法聘(僱)用之年資。</w:t>
            </w:r>
          </w:p>
          <w:p w:rsidR="00C354B0" w:rsidRPr="00AE6526" w:rsidRDefault="00C354B0" w:rsidP="00AE6526">
            <w:pPr>
              <w:pStyle w:val="ad"/>
              <w:numPr>
                <w:ilvl w:val="0"/>
                <w:numId w:val="35"/>
              </w:numPr>
              <w:spacing w:line="360" w:lineRule="exact"/>
              <w:ind w:leftChars="0" w:left="737" w:hanging="737"/>
              <w:jc w:val="both"/>
              <w:rPr>
                <w:rFonts w:ascii="標楷體" w:eastAsia="標楷體" w:hAnsi="標楷體"/>
                <w:szCs w:val="24"/>
              </w:rPr>
            </w:pPr>
            <w:r w:rsidRPr="00AE6526">
              <w:rPr>
                <w:rFonts w:ascii="標楷體" w:eastAsia="標楷體" w:hAnsi="標楷體" w:hint="eastAsia"/>
                <w:szCs w:val="24"/>
              </w:rPr>
              <w:t>公務員服務法適用對象之任職年資；或非公務員服務法適用對象，惟其任職得提敘俸級或採計退休之年資。</w:t>
            </w:r>
          </w:p>
          <w:p w:rsidR="00C354B0" w:rsidRPr="00AE6526" w:rsidRDefault="00C354B0" w:rsidP="001B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9" w:left="46" w:firstLineChars="200" w:firstLine="480"/>
              <w:jc w:val="both"/>
              <w:rPr>
                <w:rFonts w:ascii="標楷體" w:eastAsia="標楷體" w:hAnsi="標楷體"/>
                <w:szCs w:val="24"/>
              </w:rPr>
            </w:pPr>
            <w:r w:rsidRPr="00AE6526">
              <w:rPr>
                <w:rFonts w:ascii="標楷體" w:eastAsia="標楷體" w:hAnsi="標楷體" w:hint="eastAsia"/>
                <w:szCs w:val="24"/>
              </w:rPr>
              <w:t>銓敘部歷次函釋與本令釋未合部分，自106年1月1日起停止適用。</w:t>
            </w:r>
          </w:p>
        </w:tc>
        <w:tc>
          <w:tcPr>
            <w:tcW w:w="993" w:type="pct"/>
            <w:shd w:val="clear" w:color="auto" w:fill="auto"/>
          </w:tcPr>
          <w:p w:rsidR="00C354B0" w:rsidRPr="00AE6526" w:rsidRDefault="00C354B0" w:rsidP="00C354B0">
            <w:pPr>
              <w:spacing w:line="360" w:lineRule="exact"/>
              <w:jc w:val="both"/>
              <w:rPr>
                <w:rFonts w:ascii="標楷體" w:eastAsia="標楷體" w:hAnsi="標楷體"/>
                <w:szCs w:val="24"/>
              </w:rPr>
            </w:pPr>
            <w:r w:rsidRPr="00AE6526">
              <w:rPr>
                <w:rFonts w:ascii="標楷體" w:eastAsia="標楷體" w:hAnsi="標楷體" w:hint="eastAsia"/>
                <w:szCs w:val="24"/>
              </w:rPr>
              <w:lastRenderedPageBreak/>
              <w:t>銓敘部民國105年5月9日部法二字第1054104228號令</w:t>
            </w:r>
          </w:p>
        </w:tc>
        <w:tc>
          <w:tcPr>
            <w:tcW w:w="894" w:type="pct"/>
            <w:shd w:val="clear" w:color="auto" w:fill="auto"/>
          </w:tcPr>
          <w:p w:rsidR="00C354B0" w:rsidRPr="00AE6526" w:rsidRDefault="00C354B0" w:rsidP="001F5143">
            <w:pPr>
              <w:spacing w:line="360" w:lineRule="exact"/>
              <w:jc w:val="both"/>
              <w:rPr>
                <w:rFonts w:ascii="標楷體" w:eastAsia="標楷體" w:hAnsi="標楷體"/>
                <w:szCs w:val="24"/>
              </w:rPr>
            </w:pPr>
            <w:r w:rsidRPr="00AE6526">
              <w:rPr>
                <w:rFonts w:ascii="標楷體" w:eastAsia="標楷體" w:hAnsi="標楷體" w:hint="eastAsia"/>
                <w:szCs w:val="24"/>
              </w:rPr>
              <w:t>臺中市政府民國105年5月16日府授人考字第1050102031號函</w:t>
            </w:r>
          </w:p>
        </w:tc>
        <w:tc>
          <w:tcPr>
            <w:tcW w:w="297" w:type="pct"/>
            <w:shd w:val="clear" w:color="auto" w:fill="auto"/>
          </w:tcPr>
          <w:p w:rsidR="00C354B0" w:rsidRPr="002202FF" w:rsidRDefault="00C354B0" w:rsidP="0075509D"/>
        </w:tc>
      </w:tr>
      <w:tr w:rsidR="001F5143" w:rsidRPr="00AF1AF7" w:rsidTr="001F5143">
        <w:trPr>
          <w:trHeight w:val="3717"/>
        </w:trPr>
        <w:tc>
          <w:tcPr>
            <w:tcW w:w="832" w:type="pct"/>
            <w:shd w:val="clear" w:color="auto" w:fill="auto"/>
          </w:tcPr>
          <w:p w:rsidR="00DF0F01" w:rsidRPr="00BF4159" w:rsidRDefault="00DF0F01" w:rsidP="00BF4159">
            <w:pPr>
              <w:autoSpaceDE w:val="0"/>
              <w:autoSpaceDN w:val="0"/>
              <w:adjustRightInd w:val="0"/>
              <w:spacing w:line="360" w:lineRule="exact"/>
              <w:jc w:val="both"/>
              <w:rPr>
                <w:rFonts w:ascii="標楷體" w:eastAsia="標楷體" w:hAnsi="標楷體"/>
                <w:szCs w:val="24"/>
              </w:rPr>
            </w:pPr>
            <w:r w:rsidRPr="00BF4159">
              <w:rPr>
                <w:rFonts w:ascii="標楷體" w:eastAsia="標楷體" w:hAnsi="標楷體" w:hint="eastAsia"/>
                <w:szCs w:val="24"/>
              </w:rPr>
              <w:lastRenderedPageBreak/>
              <w:t>公務人員撫卹法施行細則第25條、第32條、第34條修正條文，業經考試院於民國105年5月4日發布。</w:t>
            </w:r>
          </w:p>
        </w:tc>
        <w:tc>
          <w:tcPr>
            <w:tcW w:w="1985" w:type="pct"/>
            <w:shd w:val="clear" w:color="auto" w:fill="auto"/>
          </w:tcPr>
          <w:p w:rsidR="00DF0F01" w:rsidRPr="00BF4159" w:rsidRDefault="00DF0F01" w:rsidP="00BF4159">
            <w:pPr>
              <w:numPr>
                <w:ilvl w:val="0"/>
                <w:numId w:val="36"/>
              </w:numPr>
              <w:tabs>
                <w:tab w:val="left" w:pos="513"/>
              </w:tabs>
              <w:autoSpaceDE w:val="0"/>
              <w:autoSpaceDN w:val="0"/>
              <w:adjustRightInd w:val="0"/>
              <w:spacing w:line="360" w:lineRule="exact"/>
              <w:jc w:val="both"/>
              <w:rPr>
                <w:rFonts w:ascii="標楷體" w:eastAsia="標楷體" w:hAnsi="標楷體"/>
                <w:szCs w:val="24"/>
              </w:rPr>
            </w:pPr>
            <w:r w:rsidRPr="00BF4159">
              <w:rPr>
                <w:rFonts w:ascii="標楷體" w:eastAsia="標楷體" w:hAnsi="標楷體" w:hint="eastAsia"/>
                <w:szCs w:val="24"/>
              </w:rPr>
              <w:t>修正條文已刊載於銓敘部全球資訊網(http://www.mocs.gov.tw/銓敘法規/法規動態項下)，請自行下載參考。</w:t>
            </w:r>
          </w:p>
          <w:p w:rsidR="00BF4159" w:rsidRPr="001F5143" w:rsidRDefault="00DF0F01" w:rsidP="00BF4159">
            <w:pPr>
              <w:numPr>
                <w:ilvl w:val="0"/>
                <w:numId w:val="36"/>
              </w:numPr>
              <w:tabs>
                <w:tab w:val="left" w:pos="513"/>
              </w:tabs>
              <w:autoSpaceDE w:val="0"/>
              <w:autoSpaceDN w:val="0"/>
              <w:adjustRightInd w:val="0"/>
              <w:spacing w:line="360" w:lineRule="exact"/>
              <w:jc w:val="both"/>
              <w:rPr>
                <w:rFonts w:ascii="標楷體" w:eastAsia="標楷體" w:hAnsi="標楷體"/>
                <w:szCs w:val="24"/>
              </w:rPr>
            </w:pPr>
            <w:r w:rsidRPr="00BF4159">
              <w:rPr>
                <w:rFonts w:ascii="標楷體" w:eastAsia="標楷體" w:hAnsi="標楷體" w:hint="eastAsia"/>
                <w:szCs w:val="24"/>
              </w:rPr>
              <w:t>本次修正條文第25條規定，銓敘部受理因公撫卹申請案審定流程，改採2階段方式辦理，為避免遺族將第1階段核發撫卹金作業，誤認為最終審定結果而引起爭議，請各機關學校於辦理是類案件時，適時向遺族妥為說明；另請告知遺族如擬提起救濟，亦請俟銓敘部做出第2階段處分時，再行為之。</w:t>
            </w:r>
          </w:p>
        </w:tc>
        <w:tc>
          <w:tcPr>
            <w:tcW w:w="993" w:type="pct"/>
            <w:shd w:val="clear" w:color="auto" w:fill="auto"/>
          </w:tcPr>
          <w:p w:rsidR="00DF0F01" w:rsidRPr="00876A0C" w:rsidRDefault="00DF0F01" w:rsidP="001F5143">
            <w:pPr>
              <w:spacing w:line="360" w:lineRule="exact"/>
              <w:jc w:val="both"/>
              <w:rPr>
                <w:rFonts w:ascii="標楷體" w:eastAsia="標楷體" w:hAnsi="標楷體"/>
                <w:color w:val="000000"/>
                <w:szCs w:val="24"/>
              </w:rPr>
            </w:pPr>
            <w:r w:rsidRPr="00876A0C">
              <w:rPr>
                <w:rFonts w:ascii="標楷體" w:eastAsia="標楷體" w:hAnsi="標楷體" w:hint="eastAsia"/>
                <w:color w:val="000000"/>
                <w:szCs w:val="24"/>
              </w:rPr>
              <w:t>銓敘部民國105年5月12日部退四字第1054102629</w:t>
            </w:r>
            <w:r>
              <w:rPr>
                <w:rFonts w:ascii="標楷體" w:eastAsia="標楷體" w:hAnsi="標楷體" w:hint="eastAsia"/>
                <w:color w:val="000000"/>
                <w:szCs w:val="24"/>
              </w:rPr>
              <w:t>號函</w:t>
            </w:r>
          </w:p>
        </w:tc>
        <w:tc>
          <w:tcPr>
            <w:tcW w:w="894" w:type="pct"/>
            <w:shd w:val="clear" w:color="auto" w:fill="auto"/>
          </w:tcPr>
          <w:p w:rsidR="00DF0F01" w:rsidRPr="00876A0C" w:rsidRDefault="00DF0F01" w:rsidP="001F5143">
            <w:pPr>
              <w:spacing w:line="360" w:lineRule="exact"/>
              <w:jc w:val="both"/>
              <w:rPr>
                <w:rFonts w:ascii="標楷體" w:eastAsia="標楷體" w:hAnsi="標楷體"/>
                <w:szCs w:val="24"/>
              </w:rPr>
            </w:pPr>
            <w:r w:rsidRPr="00876A0C">
              <w:rPr>
                <w:rFonts w:ascii="標楷體" w:eastAsia="標楷體" w:hAnsi="標楷體" w:cs="華康標楷體" w:hint="eastAsia"/>
                <w:szCs w:val="24"/>
              </w:rPr>
              <w:t>臺中市政</w:t>
            </w:r>
            <w:r w:rsidRPr="00876A0C">
              <w:rPr>
                <w:rFonts w:ascii="標楷體" w:eastAsia="標楷體" w:hAnsi="標楷體" w:hint="eastAsia"/>
                <w:szCs w:val="24"/>
              </w:rPr>
              <w:t>府民國105年5月16日府授人給字第1050102338</w:t>
            </w:r>
            <w:r>
              <w:rPr>
                <w:rFonts w:ascii="標楷體" w:eastAsia="標楷體" w:hAnsi="標楷體" w:hint="eastAsia"/>
                <w:szCs w:val="24"/>
              </w:rPr>
              <w:t>號函</w:t>
            </w:r>
          </w:p>
        </w:tc>
        <w:tc>
          <w:tcPr>
            <w:tcW w:w="297" w:type="pct"/>
            <w:shd w:val="clear" w:color="auto" w:fill="auto"/>
          </w:tcPr>
          <w:p w:rsidR="00DF0F01" w:rsidRDefault="00DF0F01" w:rsidP="0075509D"/>
        </w:tc>
      </w:tr>
      <w:tr w:rsidR="001F5143" w:rsidRPr="00AF1AF7" w:rsidTr="001F5143">
        <w:trPr>
          <w:trHeight w:val="3799"/>
        </w:trPr>
        <w:tc>
          <w:tcPr>
            <w:tcW w:w="832" w:type="pct"/>
            <w:shd w:val="clear" w:color="auto" w:fill="auto"/>
          </w:tcPr>
          <w:p w:rsidR="00DF0F01" w:rsidRPr="00BF4159" w:rsidRDefault="00DF0F01" w:rsidP="001F5143">
            <w:pPr>
              <w:spacing w:line="360" w:lineRule="exact"/>
              <w:jc w:val="both"/>
              <w:rPr>
                <w:rFonts w:ascii="標楷體" w:eastAsia="標楷體" w:hAnsi="標楷體"/>
                <w:szCs w:val="24"/>
              </w:rPr>
            </w:pPr>
            <w:r w:rsidRPr="00BF4159">
              <w:rPr>
                <w:rFonts w:ascii="標楷體" w:eastAsia="標楷體" w:hAnsi="標楷體" w:hint="eastAsia"/>
                <w:szCs w:val="24"/>
              </w:rPr>
              <w:lastRenderedPageBreak/>
              <w:t>公務人員退休法第21條、第23條及第24條之1條文，業經修正公布並刊載於總統府公報第7244期（另見總統府網站：http://www.president.gov.tw公報系統）。</w:t>
            </w:r>
          </w:p>
        </w:tc>
        <w:tc>
          <w:tcPr>
            <w:tcW w:w="1985" w:type="pct"/>
            <w:shd w:val="clear" w:color="auto" w:fill="auto"/>
          </w:tcPr>
          <w:p w:rsidR="00DF0F01" w:rsidRPr="00BF4159" w:rsidRDefault="00DF0F01" w:rsidP="00BF4159">
            <w:pPr>
              <w:tabs>
                <w:tab w:val="left" w:pos="513"/>
              </w:tabs>
              <w:spacing w:line="360" w:lineRule="exact"/>
              <w:jc w:val="both"/>
              <w:rPr>
                <w:rFonts w:ascii="標楷體" w:eastAsia="標楷體" w:hAnsi="標楷體"/>
                <w:szCs w:val="24"/>
              </w:rPr>
            </w:pPr>
            <w:r w:rsidRPr="00BF4159">
              <w:rPr>
                <w:rFonts w:ascii="標楷體" w:eastAsia="標楷體" w:hAnsi="標楷體" w:hint="eastAsia"/>
                <w:szCs w:val="24"/>
              </w:rPr>
              <w:t>本修正條文業經105年5月11日華總一義字第10500040011號總統令公布，其修正施行日為105年5月13日；依修正後條文規定，各機關應配合辦理下列事項：</w:t>
            </w:r>
          </w:p>
          <w:p w:rsidR="00DF0F01" w:rsidRPr="00BF4159" w:rsidRDefault="00DF0F01" w:rsidP="00BF4159">
            <w:pPr>
              <w:numPr>
                <w:ilvl w:val="0"/>
                <w:numId w:val="37"/>
              </w:numPr>
              <w:spacing w:line="360" w:lineRule="exact"/>
              <w:jc w:val="both"/>
              <w:rPr>
                <w:rFonts w:ascii="標楷體" w:eastAsia="標楷體" w:hAnsi="標楷體"/>
                <w:szCs w:val="24"/>
              </w:rPr>
            </w:pPr>
            <w:r w:rsidRPr="00BF4159">
              <w:rPr>
                <w:rFonts w:ascii="標楷體" w:eastAsia="標楷體" w:hAnsi="標楷體" w:hint="eastAsia"/>
                <w:szCs w:val="24"/>
              </w:rPr>
              <w:t>清查不得受理之資遣及退休申請案。</w:t>
            </w:r>
          </w:p>
          <w:p w:rsidR="00DF0F01" w:rsidRPr="00876A0C" w:rsidRDefault="00DF0F01" w:rsidP="00BF4159">
            <w:pPr>
              <w:numPr>
                <w:ilvl w:val="0"/>
                <w:numId w:val="37"/>
              </w:numPr>
              <w:spacing w:line="360" w:lineRule="exact"/>
              <w:jc w:val="both"/>
              <w:rPr>
                <w:rFonts w:ascii="標楷體" w:eastAsia="標楷體" w:hAnsi="標楷體"/>
                <w:szCs w:val="24"/>
              </w:rPr>
            </w:pPr>
            <w:r w:rsidRPr="00BF4159">
              <w:rPr>
                <w:rFonts w:ascii="標楷體" w:eastAsia="標楷體" w:hAnsi="標楷體" w:hint="eastAsia"/>
                <w:szCs w:val="24"/>
              </w:rPr>
              <w:t>清查應停止領受月退休金及優惠存款利息，包含退休人員涉案以及再任。</w:t>
            </w:r>
          </w:p>
          <w:p w:rsidR="00DF0F01" w:rsidRPr="00876A0C" w:rsidRDefault="00DF0F01" w:rsidP="00BF4159">
            <w:pPr>
              <w:numPr>
                <w:ilvl w:val="0"/>
                <w:numId w:val="37"/>
              </w:numPr>
              <w:spacing w:line="360" w:lineRule="exact"/>
              <w:jc w:val="both"/>
              <w:rPr>
                <w:rFonts w:ascii="標楷體" w:eastAsia="標楷體" w:hAnsi="標楷體"/>
                <w:szCs w:val="24"/>
              </w:rPr>
            </w:pPr>
            <w:r w:rsidRPr="00BF4159">
              <w:rPr>
                <w:rFonts w:ascii="標楷體" w:eastAsia="標楷體" w:hAnsi="標楷體" w:hint="eastAsia"/>
                <w:szCs w:val="24"/>
              </w:rPr>
              <w:t>增訂第24條之1部分，除依銓敘部函文配合辦理外，相關詳細執行方式將於退休法施行細則明定之。</w:t>
            </w:r>
          </w:p>
        </w:tc>
        <w:tc>
          <w:tcPr>
            <w:tcW w:w="993" w:type="pct"/>
            <w:shd w:val="clear" w:color="auto" w:fill="auto"/>
          </w:tcPr>
          <w:p w:rsidR="00DF0F01" w:rsidRPr="00876A0C" w:rsidRDefault="00DF0F01" w:rsidP="001F5143">
            <w:pPr>
              <w:spacing w:line="360" w:lineRule="exact"/>
              <w:jc w:val="both"/>
              <w:rPr>
                <w:rFonts w:ascii="標楷體" w:eastAsia="標楷體" w:hAnsi="標楷體"/>
                <w:color w:val="000000"/>
                <w:szCs w:val="24"/>
              </w:rPr>
            </w:pPr>
            <w:r w:rsidRPr="00876A0C">
              <w:rPr>
                <w:rFonts w:ascii="標楷體" w:eastAsia="標楷體" w:hAnsi="標楷體" w:hint="eastAsia"/>
                <w:color w:val="000000"/>
                <w:szCs w:val="24"/>
              </w:rPr>
              <w:t>銓敘部民國105年5月19日部退三字第1054105319號函轉總統府秘書長105年5月11日華總一義字第10500040010號函</w:t>
            </w:r>
          </w:p>
        </w:tc>
        <w:tc>
          <w:tcPr>
            <w:tcW w:w="894" w:type="pct"/>
            <w:shd w:val="clear" w:color="auto" w:fill="auto"/>
          </w:tcPr>
          <w:p w:rsidR="00DF0F01" w:rsidRPr="00876A0C" w:rsidRDefault="00DF0F01" w:rsidP="001F5143">
            <w:pPr>
              <w:spacing w:line="360" w:lineRule="exact"/>
              <w:jc w:val="both"/>
              <w:rPr>
                <w:rFonts w:ascii="標楷體" w:eastAsia="標楷體" w:hAnsi="標楷體"/>
                <w:szCs w:val="24"/>
              </w:rPr>
            </w:pPr>
            <w:r w:rsidRPr="00876A0C">
              <w:rPr>
                <w:rFonts w:ascii="標楷體" w:eastAsia="標楷體" w:hAnsi="標楷體" w:cs="華康標楷體" w:hint="eastAsia"/>
                <w:szCs w:val="24"/>
              </w:rPr>
              <w:t>臺中市政</w:t>
            </w:r>
            <w:r w:rsidRPr="00876A0C">
              <w:rPr>
                <w:rFonts w:ascii="標楷體" w:eastAsia="標楷體" w:hAnsi="標楷體" w:hint="eastAsia"/>
                <w:szCs w:val="24"/>
              </w:rPr>
              <w:t>府民國105年5月23日府授人給字第1050107655</w:t>
            </w:r>
            <w:r w:rsidR="00BF4159">
              <w:rPr>
                <w:rFonts w:ascii="標楷體" w:eastAsia="標楷體" w:hAnsi="標楷體" w:hint="eastAsia"/>
                <w:szCs w:val="24"/>
              </w:rPr>
              <w:t>號函</w:t>
            </w:r>
          </w:p>
        </w:tc>
        <w:tc>
          <w:tcPr>
            <w:tcW w:w="297" w:type="pct"/>
            <w:shd w:val="clear" w:color="auto" w:fill="auto"/>
          </w:tcPr>
          <w:p w:rsidR="00DF0F01" w:rsidRDefault="00DF0F01" w:rsidP="0075509D"/>
        </w:tc>
      </w:tr>
      <w:tr w:rsidR="001F5143" w:rsidRPr="00AF1AF7" w:rsidTr="001F5143">
        <w:trPr>
          <w:trHeight w:val="2098"/>
        </w:trPr>
        <w:tc>
          <w:tcPr>
            <w:tcW w:w="832" w:type="pct"/>
            <w:shd w:val="clear" w:color="auto" w:fill="auto"/>
          </w:tcPr>
          <w:p w:rsidR="00DF0F01" w:rsidRPr="00BF4159" w:rsidRDefault="00DF0F01" w:rsidP="00BF4159">
            <w:pPr>
              <w:spacing w:line="360" w:lineRule="exact"/>
              <w:jc w:val="both"/>
              <w:rPr>
                <w:rFonts w:ascii="標楷體" w:eastAsia="標楷體" w:hAnsi="標楷體"/>
                <w:szCs w:val="24"/>
              </w:rPr>
            </w:pPr>
            <w:r w:rsidRPr="00BF4159">
              <w:rPr>
                <w:rFonts w:ascii="標楷體" w:eastAsia="標楷體" w:hAnsi="標楷體" w:hint="eastAsia"/>
                <w:szCs w:val="24"/>
              </w:rPr>
              <w:t>公務人員退休法施行細則部分條文修正案，業經考試院於民國105年5月4日修正發布並自發布日施行。</w:t>
            </w:r>
          </w:p>
        </w:tc>
        <w:tc>
          <w:tcPr>
            <w:tcW w:w="1985" w:type="pct"/>
            <w:shd w:val="clear" w:color="auto" w:fill="auto"/>
          </w:tcPr>
          <w:p w:rsidR="00DF0F01" w:rsidRPr="00551BD2" w:rsidRDefault="00DF0F01" w:rsidP="00551BD2">
            <w:pPr>
              <w:pStyle w:val="ad"/>
              <w:numPr>
                <w:ilvl w:val="0"/>
                <w:numId w:val="40"/>
              </w:numPr>
              <w:tabs>
                <w:tab w:val="left" w:pos="513"/>
              </w:tabs>
              <w:spacing w:line="360" w:lineRule="exact"/>
              <w:ind w:leftChars="0"/>
              <w:jc w:val="both"/>
              <w:rPr>
                <w:rFonts w:ascii="標楷體" w:eastAsia="標楷體" w:hAnsi="標楷體"/>
                <w:szCs w:val="24"/>
              </w:rPr>
            </w:pPr>
            <w:r w:rsidRPr="00551BD2">
              <w:rPr>
                <w:rFonts w:ascii="標楷體" w:eastAsia="標楷體" w:hAnsi="標楷體" w:hint="eastAsia"/>
                <w:szCs w:val="24"/>
              </w:rPr>
              <w:t>退休法施行細則修正條文（含總說明及條文對照表）已刊載於</w:t>
            </w:r>
            <w:r w:rsidR="00BF4159" w:rsidRPr="00551BD2">
              <w:rPr>
                <w:rFonts w:ascii="標楷體" w:eastAsia="標楷體" w:hAnsi="標楷體" w:hint="eastAsia"/>
                <w:szCs w:val="24"/>
              </w:rPr>
              <w:t>銓敘</w:t>
            </w:r>
            <w:r w:rsidRPr="00551BD2">
              <w:rPr>
                <w:rFonts w:ascii="標楷體" w:eastAsia="標楷體" w:hAnsi="標楷體" w:hint="eastAsia"/>
                <w:szCs w:val="24"/>
              </w:rPr>
              <w:t>部全球資訊網（http://www.mocs.gov.tw/銓敘法規/法規動態項下）。</w:t>
            </w:r>
          </w:p>
          <w:p w:rsidR="00DF0F01" w:rsidRPr="00551BD2" w:rsidRDefault="00DF0F01" w:rsidP="00551BD2">
            <w:pPr>
              <w:pStyle w:val="ad"/>
              <w:numPr>
                <w:ilvl w:val="0"/>
                <w:numId w:val="40"/>
              </w:numPr>
              <w:tabs>
                <w:tab w:val="left" w:pos="513"/>
              </w:tabs>
              <w:spacing w:line="360" w:lineRule="exact"/>
              <w:ind w:leftChars="0"/>
              <w:jc w:val="both"/>
              <w:rPr>
                <w:rFonts w:ascii="標楷體" w:eastAsia="標楷體" w:hAnsi="標楷體"/>
                <w:szCs w:val="24"/>
              </w:rPr>
            </w:pPr>
            <w:r w:rsidRPr="00551BD2">
              <w:rPr>
                <w:rFonts w:ascii="標楷體" w:eastAsia="標楷體" w:hAnsi="標楷體" w:hint="eastAsia"/>
                <w:szCs w:val="24"/>
              </w:rPr>
              <w:t>本次計修正七條，修正重點如下：</w:t>
            </w:r>
          </w:p>
          <w:p w:rsidR="00DF0F01" w:rsidRPr="00D22571" w:rsidRDefault="00DF0F01" w:rsidP="00551BD2">
            <w:pPr>
              <w:numPr>
                <w:ilvl w:val="0"/>
                <w:numId w:val="39"/>
              </w:numPr>
              <w:tabs>
                <w:tab w:val="left" w:pos="513"/>
              </w:tabs>
              <w:spacing w:line="360" w:lineRule="exact"/>
              <w:ind w:leftChars="100" w:left="750" w:hanging="510"/>
              <w:jc w:val="both"/>
              <w:rPr>
                <w:rFonts w:ascii="標楷體" w:eastAsia="標楷體" w:hAnsi="標楷體"/>
                <w:szCs w:val="24"/>
              </w:rPr>
            </w:pPr>
            <w:r w:rsidRPr="00D22571">
              <w:rPr>
                <w:rFonts w:ascii="標楷體" w:eastAsia="標楷體" w:hAnsi="標楷體" w:hint="eastAsia"/>
                <w:szCs w:val="24"/>
              </w:rPr>
              <w:t>配合將殘廢用語修正為失能。（修正條文第</w:t>
            </w:r>
            <w:r w:rsidR="00BF4159">
              <w:rPr>
                <w:rFonts w:ascii="標楷體" w:eastAsia="標楷體" w:hAnsi="標楷體" w:hint="eastAsia"/>
                <w:szCs w:val="24"/>
              </w:rPr>
              <w:t>7</w:t>
            </w:r>
            <w:r w:rsidRPr="00D22571">
              <w:rPr>
                <w:rFonts w:ascii="標楷體" w:eastAsia="標楷體" w:hAnsi="標楷體" w:hint="eastAsia"/>
                <w:szCs w:val="24"/>
              </w:rPr>
              <w:t>條及第</w:t>
            </w:r>
            <w:r w:rsidR="00BF4159">
              <w:rPr>
                <w:rFonts w:ascii="標楷體" w:eastAsia="標楷體" w:hAnsi="標楷體" w:hint="eastAsia"/>
                <w:szCs w:val="24"/>
              </w:rPr>
              <w:t>18</w:t>
            </w:r>
            <w:r w:rsidRPr="00D22571">
              <w:rPr>
                <w:rFonts w:ascii="標楷體" w:eastAsia="標楷體" w:hAnsi="標楷體" w:hint="eastAsia"/>
                <w:szCs w:val="24"/>
              </w:rPr>
              <w:t>條）</w:t>
            </w:r>
          </w:p>
          <w:p w:rsidR="00DF0F01" w:rsidRPr="00D22571" w:rsidRDefault="00DF0F01" w:rsidP="00551BD2">
            <w:pPr>
              <w:numPr>
                <w:ilvl w:val="0"/>
                <w:numId w:val="39"/>
              </w:numPr>
              <w:tabs>
                <w:tab w:val="left" w:pos="513"/>
              </w:tabs>
              <w:spacing w:line="360" w:lineRule="exact"/>
              <w:ind w:leftChars="100" w:left="750" w:hanging="510"/>
              <w:jc w:val="both"/>
              <w:rPr>
                <w:rFonts w:ascii="標楷體" w:eastAsia="標楷體" w:hAnsi="標楷體"/>
                <w:szCs w:val="24"/>
              </w:rPr>
            </w:pPr>
            <w:r w:rsidRPr="00D22571">
              <w:rPr>
                <w:rFonts w:ascii="標楷體" w:eastAsia="標楷體" w:hAnsi="標楷體" w:hint="eastAsia"/>
                <w:szCs w:val="24"/>
              </w:rPr>
              <w:t>增訂公務人員繳付退撫基金費用五年以上，於任職期間涉違法失職行為而先自請離職並申請發還退撫基金費用本息時，得否一併發還政府撥繳部分之規範。（修正條文第</w:t>
            </w:r>
            <w:r w:rsidR="00BF4159">
              <w:rPr>
                <w:rFonts w:ascii="標楷體" w:eastAsia="標楷體" w:hAnsi="標楷體" w:hint="eastAsia"/>
                <w:szCs w:val="24"/>
              </w:rPr>
              <w:t>19</w:t>
            </w:r>
            <w:r w:rsidRPr="00D22571">
              <w:rPr>
                <w:rFonts w:ascii="標楷體" w:eastAsia="標楷體" w:hAnsi="標楷體" w:hint="eastAsia"/>
                <w:szCs w:val="24"/>
              </w:rPr>
              <w:t>條）</w:t>
            </w:r>
          </w:p>
          <w:p w:rsidR="00DF0F01" w:rsidRPr="00D22571" w:rsidRDefault="00DF0F01" w:rsidP="00551BD2">
            <w:pPr>
              <w:numPr>
                <w:ilvl w:val="0"/>
                <w:numId w:val="39"/>
              </w:numPr>
              <w:tabs>
                <w:tab w:val="left" w:pos="513"/>
              </w:tabs>
              <w:spacing w:line="360" w:lineRule="exact"/>
              <w:ind w:leftChars="100" w:left="750" w:hanging="510"/>
              <w:jc w:val="both"/>
              <w:rPr>
                <w:rFonts w:ascii="標楷體" w:eastAsia="標楷體" w:hAnsi="標楷體"/>
                <w:szCs w:val="24"/>
              </w:rPr>
            </w:pPr>
            <w:r w:rsidRPr="00D22571">
              <w:rPr>
                <w:rFonts w:ascii="標楷體" w:eastAsia="標楷體" w:hAnsi="標楷體" w:hint="eastAsia"/>
                <w:szCs w:val="24"/>
              </w:rPr>
              <w:t>增訂再任或轉任人員重行退休年資滿十五年以上者，其擇領或兼領月退休金，仍須照其重行退休原因，分別適用本法第</w:t>
            </w:r>
            <w:r w:rsidR="001F5143">
              <w:rPr>
                <w:rFonts w:ascii="標楷體" w:eastAsia="標楷體" w:hAnsi="標楷體" w:hint="eastAsia"/>
                <w:szCs w:val="24"/>
              </w:rPr>
              <w:t>10</w:t>
            </w:r>
            <w:r w:rsidRPr="00D22571">
              <w:rPr>
                <w:rFonts w:ascii="標楷體" w:eastAsia="標楷體" w:hAnsi="標楷體" w:hint="eastAsia"/>
                <w:szCs w:val="24"/>
              </w:rPr>
              <w:t>條至第</w:t>
            </w:r>
            <w:r w:rsidR="001F5143">
              <w:rPr>
                <w:rFonts w:ascii="標楷體" w:eastAsia="標楷體" w:hAnsi="標楷體" w:hint="eastAsia"/>
                <w:szCs w:val="24"/>
              </w:rPr>
              <w:t>12</w:t>
            </w:r>
            <w:r w:rsidRPr="00D22571">
              <w:rPr>
                <w:rFonts w:ascii="標楷體" w:eastAsia="標楷體" w:hAnsi="標楷體" w:hint="eastAsia"/>
                <w:szCs w:val="24"/>
              </w:rPr>
              <w:lastRenderedPageBreak/>
              <w:t>條所定月退休金起支條件。（修正條文第</w:t>
            </w:r>
            <w:r w:rsidR="00BF4159">
              <w:rPr>
                <w:rFonts w:ascii="標楷體" w:eastAsia="標楷體" w:hAnsi="標楷體" w:hint="eastAsia"/>
                <w:szCs w:val="24"/>
              </w:rPr>
              <w:t>21</w:t>
            </w:r>
            <w:r w:rsidRPr="00D22571">
              <w:rPr>
                <w:rFonts w:ascii="標楷體" w:eastAsia="標楷體" w:hAnsi="標楷體" w:hint="eastAsia"/>
                <w:szCs w:val="24"/>
              </w:rPr>
              <w:t>條）</w:t>
            </w:r>
          </w:p>
          <w:p w:rsidR="00DF0F01" w:rsidRPr="00D22571" w:rsidRDefault="00DF0F01" w:rsidP="00551BD2">
            <w:pPr>
              <w:numPr>
                <w:ilvl w:val="0"/>
                <w:numId w:val="39"/>
              </w:numPr>
              <w:tabs>
                <w:tab w:val="left" w:pos="513"/>
              </w:tabs>
              <w:spacing w:line="360" w:lineRule="exact"/>
              <w:ind w:leftChars="100" w:left="750" w:hanging="510"/>
              <w:jc w:val="both"/>
              <w:rPr>
                <w:rFonts w:ascii="標楷體" w:eastAsia="標楷體" w:hAnsi="標楷體"/>
                <w:szCs w:val="24"/>
              </w:rPr>
            </w:pPr>
            <w:r w:rsidRPr="00D22571">
              <w:rPr>
                <w:rFonts w:ascii="標楷體" w:eastAsia="標楷體" w:hAnsi="標楷體" w:hint="eastAsia"/>
                <w:szCs w:val="24"/>
              </w:rPr>
              <w:t>增訂曾支領政府編列預算支付退休（職、伍）金、資遣給與、離（免）職退費或年資結算給與者，其已領上述給與之年資，應與重行退休審定年資合併計算，再依本法第</w:t>
            </w:r>
            <w:r w:rsidR="001F5143">
              <w:rPr>
                <w:rFonts w:ascii="標楷體" w:eastAsia="標楷體" w:hAnsi="標楷體" w:hint="eastAsia"/>
                <w:szCs w:val="24"/>
              </w:rPr>
              <w:t>30</w:t>
            </w:r>
            <w:r w:rsidRPr="00D22571">
              <w:rPr>
                <w:rFonts w:ascii="標楷體" w:eastAsia="標楷體" w:hAnsi="標楷體" w:hint="eastAsia"/>
                <w:szCs w:val="24"/>
              </w:rPr>
              <w:t>條第</w:t>
            </w:r>
            <w:r w:rsidR="001F5143">
              <w:rPr>
                <w:rFonts w:ascii="標楷體" w:eastAsia="標楷體" w:hAnsi="標楷體" w:hint="eastAsia"/>
                <w:szCs w:val="24"/>
              </w:rPr>
              <w:t>2</w:t>
            </w:r>
            <w:r w:rsidRPr="00D22571">
              <w:rPr>
                <w:rFonts w:ascii="標楷體" w:eastAsia="標楷體" w:hAnsi="標楷體" w:hint="eastAsia"/>
                <w:szCs w:val="24"/>
              </w:rPr>
              <w:t>項及第</w:t>
            </w:r>
            <w:r w:rsidR="001F5143">
              <w:rPr>
                <w:rFonts w:ascii="標楷體" w:eastAsia="標楷體" w:hAnsi="標楷體" w:hint="eastAsia"/>
                <w:szCs w:val="24"/>
              </w:rPr>
              <w:t>3</w:t>
            </w:r>
            <w:r w:rsidRPr="00D22571">
              <w:rPr>
                <w:rFonts w:ascii="標楷體" w:eastAsia="標楷體" w:hAnsi="標楷體" w:hint="eastAsia"/>
                <w:szCs w:val="24"/>
              </w:rPr>
              <w:t>項規定，核給該二項補償金。（修正條文第</w:t>
            </w:r>
            <w:r w:rsidR="00BF4159">
              <w:rPr>
                <w:rFonts w:ascii="標楷體" w:eastAsia="標楷體" w:hAnsi="標楷體" w:hint="eastAsia"/>
                <w:szCs w:val="24"/>
              </w:rPr>
              <w:t>22</w:t>
            </w:r>
            <w:r w:rsidRPr="00D22571">
              <w:rPr>
                <w:rFonts w:ascii="標楷體" w:eastAsia="標楷體" w:hAnsi="標楷體" w:hint="eastAsia"/>
                <w:szCs w:val="24"/>
              </w:rPr>
              <w:t>條）</w:t>
            </w:r>
          </w:p>
          <w:p w:rsidR="00DF0F01" w:rsidRPr="00D22571" w:rsidRDefault="00DF0F01" w:rsidP="00551BD2">
            <w:pPr>
              <w:numPr>
                <w:ilvl w:val="0"/>
                <w:numId w:val="39"/>
              </w:numPr>
              <w:tabs>
                <w:tab w:val="left" w:pos="513"/>
              </w:tabs>
              <w:spacing w:line="360" w:lineRule="exact"/>
              <w:ind w:leftChars="100" w:left="750" w:hanging="510"/>
              <w:jc w:val="both"/>
              <w:rPr>
                <w:rFonts w:ascii="標楷體" w:eastAsia="標楷體" w:hAnsi="標楷體"/>
                <w:szCs w:val="24"/>
              </w:rPr>
            </w:pPr>
            <w:r w:rsidRPr="00D22571">
              <w:rPr>
                <w:rFonts w:ascii="標楷體" w:eastAsia="標楷體" w:hAnsi="標楷體" w:hint="eastAsia"/>
                <w:szCs w:val="24"/>
              </w:rPr>
              <w:t>資遣人員不願配合填寫資遣事實表並檢證申請審定年資及給與者，參照本細則第</w:t>
            </w:r>
            <w:r w:rsidR="001F5143">
              <w:rPr>
                <w:rFonts w:ascii="標楷體" w:eastAsia="標楷體" w:hAnsi="標楷體" w:hint="eastAsia"/>
                <w:szCs w:val="24"/>
              </w:rPr>
              <w:t>24</w:t>
            </w:r>
            <w:r w:rsidRPr="00D22571">
              <w:rPr>
                <w:rFonts w:ascii="標楷體" w:eastAsia="標楷體" w:hAnsi="標楷體" w:hint="eastAsia"/>
                <w:szCs w:val="24"/>
              </w:rPr>
              <w:t>條第</w:t>
            </w:r>
            <w:r w:rsidR="001F5143">
              <w:rPr>
                <w:rFonts w:ascii="標楷體" w:eastAsia="標楷體" w:hAnsi="標楷體" w:hint="eastAsia"/>
                <w:szCs w:val="24"/>
              </w:rPr>
              <w:t>1</w:t>
            </w:r>
            <w:r w:rsidRPr="00D22571">
              <w:rPr>
                <w:rFonts w:ascii="標楷體" w:eastAsia="標楷體" w:hAnsi="標楷體" w:hint="eastAsia"/>
                <w:szCs w:val="24"/>
              </w:rPr>
              <w:t>項及第</w:t>
            </w:r>
            <w:r w:rsidR="001F5143">
              <w:rPr>
                <w:rFonts w:ascii="標楷體" w:eastAsia="標楷體" w:hAnsi="標楷體" w:hint="eastAsia"/>
                <w:szCs w:val="24"/>
              </w:rPr>
              <w:t>3</w:t>
            </w:r>
            <w:r w:rsidRPr="00D22571">
              <w:rPr>
                <w:rFonts w:ascii="標楷體" w:eastAsia="標楷體" w:hAnsi="標楷體" w:hint="eastAsia"/>
                <w:szCs w:val="24"/>
              </w:rPr>
              <w:t>項規定，增列得由服務機關代為辦理之相關規定，以利執行。（修正條文第</w:t>
            </w:r>
            <w:r w:rsidR="00BF4159">
              <w:rPr>
                <w:rFonts w:ascii="標楷體" w:eastAsia="標楷體" w:hAnsi="標楷體" w:hint="eastAsia"/>
                <w:szCs w:val="24"/>
              </w:rPr>
              <w:t>27</w:t>
            </w:r>
            <w:r w:rsidRPr="00D22571">
              <w:rPr>
                <w:rFonts w:ascii="標楷體" w:eastAsia="標楷體" w:hAnsi="標楷體" w:hint="eastAsia"/>
                <w:szCs w:val="24"/>
              </w:rPr>
              <w:t>條）</w:t>
            </w:r>
          </w:p>
          <w:p w:rsidR="00DF0F01" w:rsidRPr="00D22571" w:rsidRDefault="00DF0F01" w:rsidP="00551BD2">
            <w:pPr>
              <w:numPr>
                <w:ilvl w:val="0"/>
                <w:numId w:val="39"/>
              </w:numPr>
              <w:tabs>
                <w:tab w:val="left" w:pos="513"/>
              </w:tabs>
              <w:spacing w:line="360" w:lineRule="exact"/>
              <w:ind w:leftChars="100" w:left="750" w:hanging="510"/>
              <w:jc w:val="both"/>
              <w:rPr>
                <w:rFonts w:ascii="標楷體" w:eastAsia="標楷體" w:hAnsi="標楷體"/>
                <w:szCs w:val="24"/>
              </w:rPr>
            </w:pPr>
            <w:r w:rsidRPr="00D22571">
              <w:rPr>
                <w:rFonts w:ascii="標楷體" w:eastAsia="標楷體" w:hAnsi="標楷體" w:hint="eastAsia"/>
                <w:szCs w:val="24"/>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w:t>
            </w:r>
            <w:r w:rsidR="00BF4159">
              <w:rPr>
                <w:rFonts w:ascii="標楷體" w:eastAsia="標楷體" w:hAnsi="標楷體" w:hint="eastAsia"/>
                <w:szCs w:val="24"/>
              </w:rPr>
              <w:t>36</w:t>
            </w:r>
            <w:r w:rsidRPr="00D22571">
              <w:rPr>
                <w:rFonts w:ascii="標楷體" w:eastAsia="標楷體" w:hAnsi="標楷體" w:hint="eastAsia"/>
                <w:szCs w:val="24"/>
              </w:rPr>
              <w:t>條）</w:t>
            </w:r>
          </w:p>
        </w:tc>
        <w:tc>
          <w:tcPr>
            <w:tcW w:w="993" w:type="pct"/>
            <w:shd w:val="clear" w:color="auto" w:fill="auto"/>
          </w:tcPr>
          <w:p w:rsidR="00DF0F01" w:rsidRPr="00876A0C" w:rsidRDefault="00DF0F01" w:rsidP="001F5143">
            <w:pPr>
              <w:spacing w:line="360" w:lineRule="exact"/>
              <w:jc w:val="both"/>
              <w:rPr>
                <w:rFonts w:ascii="標楷體" w:eastAsia="標楷體" w:hAnsi="標楷體"/>
                <w:color w:val="000000"/>
                <w:szCs w:val="24"/>
              </w:rPr>
            </w:pPr>
            <w:r w:rsidRPr="00876A0C">
              <w:rPr>
                <w:rFonts w:ascii="標楷體" w:eastAsia="標楷體" w:hAnsi="標楷體" w:hint="eastAsia"/>
                <w:color w:val="000000"/>
                <w:szCs w:val="24"/>
              </w:rPr>
              <w:lastRenderedPageBreak/>
              <w:t>銓敘部民國105年5月19日部退三字第10541026271</w:t>
            </w:r>
            <w:r w:rsidR="00BF4159">
              <w:rPr>
                <w:rFonts w:ascii="標楷體" w:eastAsia="標楷體" w:hAnsi="標楷體" w:hint="eastAsia"/>
                <w:color w:val="000000"/>
                <w:szCs w:val="24"/>
              </w:rPr>
              <w:t>號函</w:t>
            </w:r>
          </w:p>
        </w:tc>
        <w:tc>
          <w:tcPr>
            <w:tcW w:w="894" w:type="pct"/>
            <w:shd w:val="clear" w:color="auto" w:fill="auto"/>
          </w:tcPr>
          <w:p w:rsidR="00DF0F01" w:rsidRPr="00876A0C" w:rsidRDefault="00DF0F01" w:rsidP="001F5143">
            <w:pPr>
              <w:spacing w:line="360" w:lineRule="exact"/>
              <w:jc w:val="both"/>
              <w:rPr>
                <w:rFonts w:ascii="標楷體" w:eastAsia="標楷體" w:hAnsi="標楷體"/>
                <w:szCs w:val="24"/>
              </w:rPr>
            </w:pPr>
            <w:r w:rsidRPr="00876A0C">
              <w:rPr>
                <w:rFonts w:ascii="標楷體" w:eastAsia="標楷體" w:hAnsi="標楷體" w:cs="華康標楷體" w:hint="eastAsia"/>
                <w:szCs w:val="24"/>
              </w:rPr>
              <w:t>臺中市政</w:t>
            </w:r>
            <w:r w:rsidRPr="00876A0C">
              <w:rPr>
                <w:rFonts w:ascii="標楷體" w:eastAsia="標楷體" w:hAnsi="標楷體" w:hint="eastAsia"/>
                <w:szCs w:val="24"/>
              </w:rPr>
              <w:t>府民國105年5月23日府授人給字第1050107652</w:t>
            </w:r>
            <w:r w:rsidR="00BF4159">
              <w:rPr>
                <w:rFonts w:ascii="標楷體" w:eastAsia="標楷體" w:hAnsi="標楷體" w:hint="eastAsia"/>
                <w:szCs w:val="24"/>
              </w:rPr>
              <w:t>號函</w:t>
            </w:r>
          </w:p>
        </w:tc>
        <w:tc>
          <w:tcPr>
            <w:tcW w:w="297" w:type="pct"/>
            <w:shd w:val="clear" w:color="auto" w:fill="auto"/>
          </w:tcPr>
          <w:p w:rsidR="00DF0F01" w:rsidRDefault="00DF0F01" w:rsidP="0075509D"/>
        </w:tc>
      </w:tr>
      <w:bookmarkEnd w:id="0"/>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43" w:rsidRDefault="00514043" w:rsidP="001D5F40">
      <w:r>
        <w:separator/>
      </w:r>
    </w:p>
  </w:endnote>
  <w:endnote w:type="continuationSeparator" w:id="0">
    <w:p w:rsidR="00514043" w:rsidRDefault="00514043"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Content>
      <w:p w:rsidR="001543DD" w:rsidRDefault="001543DD">
        <w:pPr>
          <w:pStyle w:val="a6"/>
          <w:jc w:val="center"/>
        </w:pPr>
        <w:r>
          <w:fldChar w:fldCharType="begin"/>
        </w:r>
        <w:r>
          <w:instrText>PAGE   \* MERGEFORMAT</w:instrText>
        </w:r>
        <w:r>
          <w:fldChar w:fldCharType="separate"/>
        </w:r>
        <w:r w:rsidRPr="001543DD">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43" w:rsidRDefault="00514043" w:rsidP="001D5F40">
      <w:r>
        <w:separator/>
      </w:r>
    </w:p>
  </w:footnote>
  <w:footnote w:type="continuationSeparator" w:id="0">
    <w:p w:rsidR="00514043" w:rsidRDefault="00514043"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8D"/>
    <w:multiLevelType w:val="hybridMultilevel"/>
    <w:tmpl w:val="CB8A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D2BF9"/>
    <w:multiLevelType w:val="hybridMultilevel"/>
    <w:tmpl w:val="B33CA258"/>
    <w:lvl w:ilvl="0" w:tplc="5F6AF31E">
      <w:start w:val="1"/>
      <w:numFmt w:val="taiwaneseCountingThousand"/>
      <w:lvlText w:val="(%1)"/>
      <w:lvlJc w:val="left"/>
      <w:pPr>
        <w:ind w:left="480" w:hanging="480"/>
      </w:pPr>
      <w:rPr>
        <w:rFonts w:hint="default"/>
      </w:rPr>
    </w:lvl>
    <w:lvl w:ilvl="1" w:tplc="C5469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2559DD"/>
    <w:multiLevelType w:val="singleLevel"/>
    <w:tmpl w:val="72DE29C4"/>
    <w:lvl w:ilvl="0">
      <w:start w:val="1"/>
      <w:numFmt w:val="taiwaneseCountingThousand"/>
      <w:lvlText w:val="(%1)"/>
      <w:lvlJc w:val="left"/>
      <w:pPr>
        <w:ind w:left="850" w:hanging="425"/>
      </w:pPr>
      <w:rPr>
        <w:rFonts w:hint="default"/>
      </w:rPr>
    </w:lvl>
  </w:abstractNum>
  <w:abstractNum w:abstractNumId="3">
    <w:nsid w:val="091D4399"/>
    <w:multiLevelType w:val="hybridMultilevel"/>
    <w:tmpl w:val="005E9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674332"/>
    <w:multiLevelType w:val="hybridMultilevel"/>
    <w:tmpl w:val="21867C28"/>
    <w:lvl w:ilvl="0" w:tplc="5F6AF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CE2783"/>
    <w:multiLevelType w:val="hybridMultilevel"/>
    <w:tmpl w:val="EEA4B15A"/>
    <w:lvl w:ilvl="0" w:tplc="03CC26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6E107A"/>
    <w:multiLevelType w:val="hybridMultilevel"/>
    <w:tmpl w:val="05C4B4A8"/>
    <w:lvl w:ilvl="0" w:tplc="409E40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483219"/>
    <w:multiLevelType w:val="multilevel"/>
    <w:tmpl w:val="FD30CEFC"/>
    <w:numStyleLink w:val="2"/>
  </w:abstractNum>
  <w:abstractNum w:abstractNumId="9">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nsid w:val="28D35208"/>
    <w:multiLevelType w:val="hybridMultilevel"/>
    <w:tmpl w:val="88D24C4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4728CF"/>
    <w:multiLevelType w:val="hybridMultilevel"/>
    <w:tmpl w:val="911C7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9E6A1B"/>
    <w:multiLevelType w:val="hybridMultilevel"/>
    <w:tmpl w:val="7ABE38CE"/>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AD7D18"/>
    <w:multiLevelType w:val="hybridMultilevel"/>
    <w:tmpl w:val="C98A2666"/>
    <w:lvl w:ilvl="0" w:tplc="FCCA98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411AB1"/>
    <w:multiLevelType w:val="hybridMultilevel"/>
    <w:tmpl w:val="F0405EA4"/>
    <w:lvl w:ilvl="0" w:tplc="CFEC441A">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8">
    <w:nsid w:val="3E2562FB"/>
    <w:multiLevelType w:val="hybridMultilevel"/>
    <w:tmpl w:val="0C74FD0E"/>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724AA7"/>
    <w:multiLevelType w:val="hybridMultilevel"/>
    <w:tmpl w:val="784C851C"/>
    <w:lvl w:ilvl="0" w:tplc="42368E5E">
      <w:start w:val="1"/>
      <w:numFmt w:val="taiwaneseCountingThousand"/>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0">
    <w:nsid w:val="422722C7"/>
    <w:multiLevelType w:val="hybridMultilevel"/>
    <w:tmpl w:val="55D897A0"/>
    <w:lvl w:ilvl="0" w:tplc="4FF264F8">
      <w:start w:val="1"/>
      <w:numFmt w:val="taiwaneseCountingThousand"/>
      <w:lvlText w:val="%1、"/>
      <w:lvlJc w:val="left"/>
      <w:pPr>
        <w:ind w:left="52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D04245"/>
    <w:multiLevelType w:val="hybridMultilevel"/>
    <w:tmpl w:val="1794D230"/>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24">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5">
    <w:nsid w:val="51625D3F"/>
    <w:multiLevelType w:val="hybridMultilevel"/>
    <w:tmpl w:val="C45C8CA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0267D6"/>
    <w:multiLevelType w:val="hybridMultilevel"/>
    <w:tmpl w:val="05C4B4A8"/>
    <w:lvl w:ilvl="0" w:tplc="409E401C">
      <w:start w:val="1"/>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nsid w:val="61287B6B"/>
    <w:multiLevelType w:val="hybridMultilevel"/>
    <w:tmpl w:val="904E66C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2C037F"/>
    <w:multiLevelType w:val="hybridMultilevel"/>
    <w:tmpl w:val="C26431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423603"/>
    <w:multiLevelType w:val="hybridMultilevel"/>
    <w:tmpl w:val="C0EA8318"/>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B5061C"/>
    <w:multiLevelType w:val="hybridMultilevel"/>
    <w:tmpl w:val="5162A536"/>
    <w:lvl w:ilvl="0" w:tplc="499E8E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A57EDF"/>
    <w:multiLevelType w:val="hybridMultilevel"/>
    <w:tmpl w:val="09B6F950"/>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F37380"/>
    <w:multiLevelType w:val="hybridMultilevel"/>
    <w:tmpl w:val="12D6FF6C"/>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3901D1"/>
    <w:multiLevelType w:val="hybridMultilevel"/>
    <w:tmpl w:val="F264921A"/>
    <w:lvl w:ilvl="0" w:tplc="79AC1A30">
      <w:start w:val="1"/>
      <w:numFmt w:val="taiwaneseCountingThousand"/>
      <w:lvlText w:val="%1、"/>
      <w:lvlJc w:val="left"/>
      <w:pPr>
        <w:ind w:left="800" w:hanging="480"/>
      </w:pPr>
      <w:rPr>
        <w:rFonts w:hint="eastAsia"/>
        <w:sz w:val="24"/>
        <w:szCs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9">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5"/>
  </w:num>
  <w:num w:numId="2">
    <w:abstractNumId w:val="16"/>
  </w:num>
  <w:num w:numId="3">
    <w:abstractNumId w:val="37"/>
  </w:num>
  <w:num w:numId="4">
    <w:abstractNumId w:val="30"/>
  </w:num>
  <w:num w:numId="5">
    <w:abstractNumId w:val="22"/>
  </w:num>
  <w:num w:numId="6">
    <w:abstractNumId w:val="7"/>
  </w:num>
  <w:num w:numId="7">
    <w:abstractNumId w:val="27"/>
  </w:num>
  <w:num w:numId="8">
    <w:abstractNumId w:val="26"/>
  </w:num>
  <w:num w:numId="9">
    <w:abstractNumId w:val="24"/>
  </w:num>
  <w:num w:numId="10">
    <w:abstractNumId w:val="39"/>
  </w:num>
  <w:num w:numId="11">
    <w:abstractNumId w:val="23"/>
  </w:num>
  <w:num w:numId="12">
    <w:abstractNumId w:val="28"/>
  </w:num>
  <w:num w:numId="13">
    <w:abstractNumId w:val="6"/>
  </w:num>
  <w:num w:numId="14">
    <w:abstractNumId w:val="38"/>
  </w:num>
  <w:num w:numId="15">
    <w:abstractNumId w:val="12"/>
  </w:num>
  <w:num w:numId="16">
    <w:abstractNumId w:val="15"/>
  </w:num>
  <w:num w:numId="17">
    <w:abstractNumId w:val="1"/>
  </w:num>
  <w:num w:numId="18">
    <w:abstractNumId w:val="4"/>
  </w:num>
  <w:num w:numId="19">
    <w:abstractNumId w:val="9"/>
  </w:num>
  <w:num w:numId="20">
    <w:abstractNumId w:val="10"/>
  </w:num>
  <w:num w:numId="21">
    <w:abstractNumId w:val="2"/>
  </w:num>
  <w:num w:numId="22">
    <w:abstractNumId w:val="8"/>
    <w:lvlOverride w:ilvl="0">
      <w:lvl w:ilvl="0">
        <w:start w:val="1"/>
        <w:numFmt w:val="taiwaneseCountingThousand"/>
        <w:lvlText w:val="(%1)"/>
        <w:lvlJc w:val="left"/>
        <w:pPr>
          <w:ind w:left="905" w:hanging="480"/>
        </w:pPr>
        <w:rPr>
          <w:rFonts w:hint="default"/>
        </w:rPr>
      </w:lvl>
    </w:lvlOverride>
    <w:lvlOverride w:ilvl="1">
      <w:lvl w:ilvl="1" w:tentative="1">
        <w:start w:val="1"/>
        <w:numFmt w:val="ideographTraditional"/>
        <w:lvlText w:val="%2、"/>
        <w:lvlJc w:val="left"/>
        <w:pPr>
          <w:ind w:left="1385" w:hanging="480"/>
        </w:pPr>
      </w:lvl>
    </w:lvlOverride>
    <w:lvlOverride w:ilvl="2">
      <w:lvl w:ilvl="2" w:tentative="1">
        <w:start w:val="1"/>
        <w:numFmt w:val="lowerRoman"/>
        <w:lvlText w:val="%3."/>
        <w:lvlJc w:val="right"/>
        <w:pPr>
          <w:ind w:left="1865" w:hanging="480"/>
        </w:pPr>
      </w:lvl>
    </w:lvlOverride>
    <w:lvlOverride w:ilvl="3">
      <w:lvl w:ilvl="3" w:tentative="1">
        <w:start w:val="1"/>
        <w:numFmt w:val="decimal"/>
        <w:lvlText w:val="%4."/>
        <w:lvlJc w:val="left"/>
        <w:pPr>
          <w:ind w:left="2345" w:hanging="480"/>
        </w:pPr>
      </w:lvl>
    </w:lvlOverride>
    <w:lvlOverride w:ilvl="4">
      <w:lvl w:ilvl="4" w:tentative="1">
        <w:start w:val="1"/>
        <w:numFmt w:val="ideographTraditional"/>
        <w:lvlText w:val="%5、"/>
        <w:lvlJc w:val="left"/>
        <w:pPr>
          <w:ind w:left="2825" w:hanging="480"/>
        </w:pPr>
      </w:lvl>
    </w:lvlOverride>
    <w:lvlOverride w:ilvl="5">
      <w:lvl w:ilvl="5" w:tentative="1">
        <w:start w:val="1"/>
        <w:numFmt w:val="lowerRoman"/>
        <w:lvlText w:val="%6."/>
        <w:lvlJc w:val="right"/>
        <w:pPr>
          <w:ind w:left="3305" w:hanging="480"/>
        </w:pPr>
      </w:lvl>
    </w:lvlOverride>
    <w:lvlOverride w:ilvl="6">
      <w:lvl w:ilvl="6" w:tentative="1">
        <w:start w:val="1"/>
        <w:numFmt w:val="decimal"/>
        <w:lvlText w:val="%7."/>
        <w:lvlJc w:val="left"/>
        <w:pPr>
          <w:ind w:left="3785" w:hanging="480"/>
        </w:pPr>
      </w:lvl>
    </w:lvlOverride>
    <w:lvlOverride w:ilvl="7">
      <w:lvl w:ilvl="7" w:tentative="1">
        <w:start w:val="1"/>
        <w:numFmt w:val="ideographTraditional"/>
        <w:lvlText w:val="%8、"/>
        <w:lvlJc w:val="left"/>
        <w:pPr>
          <w:ind w:left="4265" w:hanging="480"/>
        </w:pPr>
      </w:lvl>
    </w:lvlOverride>
    <w:lvlOverride w:ilvl="8">
      <w:lvl w:ilvl="8" w:tentative="1">
        <w:start w:val="1"/>
        <w:numFmt w:val="lowerRoman"/>
        <w:lvlText w:val="%9."/>
        <w:lvlJc w:val="right"/>
        <w:pPr>
          <w:ind w:left="4745" w:hanging="480"/>
        </w:pPr>
      </w:lvl>
    </w:lvlOverride>
  </w:num>
  <w:num w:numId="23">
    <w:abstractNumId w:val="3"/>
  </w:num>
  <w:num w:numId="24">
    <w:abstractNumId w:val="25"/>
  </w:num>
  <w:num w:numId="25">
    <w:abstractNumId w:val="11"/>
  </w:num>
  <w:num w:numId="26">
    <w:abstractNumId w:val="14"/>
  </w:num>
  <w:num w:numId="27">
    <w:abstractNumId w:val="34"/>
  </w:num>
  <w:num w:numId="28">
    <w:abstractNumId w:val="31"/>
  </w:num>
  <w:num w:numId="29">
    <w:abstractNumId w:val="0"/>
  </w:num>
  <w:num w:numId="30">
    <w:abstractNumId w:val="36"/>
  </w:num>
  <w:num w:numId="31">
    <w:abstractNumId w:val="18"/>
  </w:num>
  <w:num w:numId="32">
    <w:abstractNumId w:val="21"/>
  </w:num>
  <w:num w:numId="33">
    <w:abstractNumId w:val="32"/>
  </w:num>
  <w:num w:numId="34">
    <w:abstractNumId w:val="17"/>
  </w:num>
  <w:num w:numId="35">
    <w:abstractNumId w:val="19"/>
  </w:num>
  <w:num w:numId="36">
    <w:abstractNumId w:val="13"/>
  </w:num>
  <w:num w:numId="37">
    <w:abstractNumId w:val="20"/>
  </w:num>
  <w:num w:numId="38">
    <w:abstractNumId w:val="5"/>
  </w:num>
  <w:num w:numId="39">
    <w:abstractNumId w:val="33"/>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E2A"/>
    <w:rsid w:val="00021779"/>
    <w:rsid w:val="00021BB2"/>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1C7F"/>
    <w:rsid w:val="000D1BA9"/>
    <w:rsid w:val="000D3665"/>
    <w:rsid w:val="000E43CF"/>
    <w:rsid w:val="000E74C6"/>
    <w:rsid w:val="001137A1"/>
    <w:rsid w:val="00113D7D"/>
    <w:rsid w:val="001145B0"/>
    <w:rsid w:val="001176C6"/>
    <w:rsid w:val="0013190C"/>
    <w:rsid w:val="00132800"/>
    <w:rsid w:val="00133691"/>
    <w:rsid w:val="0013551A"/>
    <w:rsid w:val="00137B32"/>
    <w:rsid w:val="001465F9"/>
    <w:rsid w:val="001543DD"/>
    <w:rsid w:val="00156194"/>
    <w:rsid w:val="00160211"/>
    <w:rsid w:val="001768AF"/>
    <w:rsid w:val="001809CA"/>
    <w:rsid w:val="00182146"/>
    <w:rsid w:val="00182BBB"/>
    <w:rsid w:val="001858DC"/>
    <w:rsid w:val="00190311"/>
    <w:rsid w:val="0019320E"/>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1F68"/>
    <w:rsid w:val="001F2323"/>
    <w:rsid w:val="001F5143"/>
    <w:rsid w:val="001F7481"/>
    <w:rsid w:val="0020668C"/>
    <w:rsid w:val="00213799"/>
    <w:rsid w:val="00214261"/>
    <w:rsid w:val="00217482"/>
    <w:rsid w:val="00222D70"/>
    <w:rsid w:val="00232381"/>
    <w:rsid w:val="0024565B"/>
    <w:rsid w:val="002523A0"/>
    <w:rsid w:val="00253D3E"/>
    <w:rsid w:val="00263C0A"/>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66FA"/>
    <w:rsid w:val="0034364C"/>
    <w:rsid w:val="00345DBF"/>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E2155"/>
    <w:rsid w:val="003E403C"/>
    <w:rsid w:val="003E7158"/>
    <w:rsid w:val="003F016C"/>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3F8"/>
    <w:rsid w:val="004945CC"/>
    <w:rsid w:val="00494905"/>
    <w:rsid w:val="00495576"/>
    <w:rsid w:val="0049581C"/>
    <w:rsid w:val="004A05A8"/>
    <w:rsid w:val="004A1114"/>
    <w:rsid w:val="004A1A5F"/>
    <w:rsid w:val="004A5B79"/>
    <w:rsid w:val="004A6B23"/>
    <w:rsid w:val="004B504D"/>
    <w:rsid w:val="004B6EE0"/>
    <w:rsid w:val="004D0A90"/>
    <w:rsid w:val="004E234B"/>
    <w:rsid w:val="004E284E"/>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50A2"/>
    <w:rsid w:val="005164AB"/>
    <w:rsid w:val="005348D0"/>
    <w:rsid w:val="005351A7"/>
    <w:rsid w:val="00543E4F"/>
    <w:rsid w:val="005467BE"/>
    <w:rsid w:val="00550203"/>
    <w:rsid w:val="00550277"/>
    <w:rsid w:val="00550D49"/>
    <w:rsid w:val="00551BD2"/>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5E73"/>
    <w:rsid w:val="00697EB6"/>
    <w:rsid w:val="006A09C0"/>
    <w:rsid w:val="006A7D70"/>
    <w:rsid w:val="006B377D"/>
    <w:rsid w:val="006C2D70"/>
    <w:rsid w:val="006D1A52"/>
    <w:rsid w:val="006D3D36"/>
    <w:rsid w:val="006D7E95"/>
    <w:rsid w:val="006E2255"/>
    <w:rsid w:val="006E2EAC"/>
    <w:rsid w:val="006E698B"/>
    <w:rsid w:val="006F0287"/>
    <w:rsid w:val="006F0BF3"/>
    <w:rsid w:val="006F2A2B"/>
    <w:rsid w:val="006F4FB4"/>
    <w:rsid w:val="006F516B"/>
    <w:rsid w:val="006F7655"/>
    <w:rsid w:val="00701B2B"/>
    <w:rsid w:val="007036C4"/>
    <w:rsid w:val="0070525B"/>
    <w:rsid w:val="0070611E"/>
    <w:rsid w:val="00710A6D"/>
    <w:rsid w:val="00712B3A"/>
    <w:rsid w:val="0072224F"/>
    <w:rsid w:val="00731A32"/>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67B77"/>
    <w:rsid w:val="00781E9B"/>
    <w:rsid w:val="00786AE9"/>
    <w:rsid w:val="00787D4D"/>
    <w:rsid w:val="00790A3E"/>
    <w:rsid w:val="007914F1"/>
    <w:rsid w:val="00794697"/>
    <w:rsid w:val="00797038"/>
    <w:rsid w:val="007B5D98"/>
    <w:rsid w:val="007C2CD6"/>
    <w:rsid w:val="007C57C1"/>
    <w:rsid w:val="007C6F45"/>
    <w:rsid w:val="007D3405"/>
    <w:rsid w:val="007D3911"/>
    <w:rsid w:val="007D533C"/>
    <w:rsid w:val="007E045B"/>
    <w:rsid w:val="007E320F"/>
    <w:rsid w:val="007E5A62"/>
    <w:rsid w:val="007E5AAC"/>
    <w:rsid w:val="007E607E"/>
    <w:rsid w:val="007E6B42"/>
    <w:rsid w:val="007E6E26"/>
    <w:rsid w:val="007F09A8"/>
    <w:rsid w:val="00800620"/>
    <w:rsid w:val="00801FDE"/>
    <w:rsid w:val="00803A66"/>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6168C"/>
    <w:rsid w:val="008631B5"/>
    <w:rsid w:val="00864688"/>
    <w:rsid w:val="00865414"/>
    <w:rsid w:val="008805C5"/>
    <w:rsid w:val="0088213E"/>
    <w:rsid w:val="00885F6E"/>
    <w:rsid w:val="0088603D"/>
    <w:rsid w:val="00886398"/>
    <w:rsid w:val="00893791"/>
    <w:rsid w:val="008A0D43"/>
    <w:rsid w:val="008A388A"/>
    <w:rsid w:val="008B60E8"/>
    <w:rsid w:val="008C045E"/>
    <w:rsid w:val="008C0C21"/>
    <w:rsid w:val="008C168C"/>
    <w:rsid w:val="008D26E5"/>
    <w:rsid w:val="008D3F3E"/>
    <w:rsid w:val="008E0085"/>
    <w:rsid w:val="008E1382"/>
    <w:rsid w:val="008E1FDE"/>
    <w:rsid w:val="008E2C2E"/>
    <w:rsid w:val="00901477"/>
    <w:rsid w:val="00901FF4"/>
    <w:rsid w:val="00906457"/>
    <w:rsid w:val="0090778A"/>
    <w:rsid w:val="00910AC1"/>
    <w:rsid w:val="0091337D"/>
    <w:rsid w:val="009138AE"/>
    <w:rsid w:val="009151CB"/>
    <w:rsid w:val="009251FD"/>
    <w:rsid w:val="00925B49"/>
    <w:rsid w:val="009273EF"/>
    <w:rsid w:val="00930532"/>
    <w:rsid w:val="00932E17"/>
    <w:rsid w:val="009331E0"/>
    <w:rsid w:val="00942D37"/>
    <w:rsid w:val="0094367B"/>
    <w:rsid w:val="009501E3"/>
    <w:rsid w:val="00953860"/>
    <w:rsid w:val="00956B4E"/>
    <w:rsid w:val="00961AF3"/>
    <w:rsid w:val="00963A35"/>
    <w:rsid w:val="00966649"/>
    <w:rsid w:val="00966F93"/>
    <w:rsid w:val="00970AF3"/>
    <w:rsid w:val="00974466"/>
    <w:rsid w:val="0097653F"/>
    <w:rsid w:val="00981A27"/>
    <w:rsid w:val="009843F7"/>
    <w:rsid w:val="009848ED"/>
    <w:rsid w:val="00992D70"/>
    <w:rsid w:val="0099700E"/>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F11ED"/>
    <w:rsid w:val="009F449D"/>
    <w:rsid w:val="00A14592"/>
    <w:rsid w:val="00A14C2D"/>
    <w:rsid w:val="00A16ACF"/>
    <w:rsid w:val="00A27E97"/>
    <w:rsid w:val="00A302F1"/>
    <w:rsid w:val="00A337DE"/>
    <w:rsid w:val="00A33AD4"/>
    <w:rsid w:val="00A36DAA"/>
    <w:rsid w:val="00A4155C"/>
    <w:rsid w:val="00A47999"/>
    <w:rsid w:val="00A47D6F"/>
    <w:rsid w:val="00A54A95"/>
    <w:rsid w:val="00A56D68"/>
    <w:rsid w:val="00A574A2"/>
    <w:rsid w:val="00A63E58"/>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60E3"/>
    <w:rsid w:val="00B60063"/>
    <w:rsid w:val="00B601CD"/>
    <w:rsid w:val="00B65E24"/>
    <w:rsid w:val="00B67FAE"/>
    <w:rsid w:val="00B70341"/>
    <w:rsid w:val="00B74ACE"/>
    <w:rsid w:val="00B77D61"/>
    <w:rsid w:val="00B8672F"/>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E3065"/>
    <w:rsid w:val="00BF062B"/>
    <w:rsid w:val="00BF2736"/>
    <w:rsid w:val="00BF4159"/>
    <w:rsid w:val="00BF7CD7"/>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82F2E"/>
    <w:rsid w:val="00D92DD2"/>
    <w:rsid w:val="00D94152"/>
    <w:rsid w:val="00D9436C"/>
    <w:rsid w:val="00D9724F"/>
    <w:rsid w:val="00DA1FA5"/>
    <w:rsid w:val="00DA46C0"/>
    <w:rsid w:val="00DC3671"/>
    <w:rsid w:val="00DC38C6"/>
    <w:rsid w:val="00DC4318"/>
    <w:rsid w:val="00DC4AAF"/>
    <w:rsid w:val="00DD4A50"/>
    <w:rsid w:val="00DD58E4"/>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A18"/>
    <w:rsid w:val="00EB4F5F"/>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3902"/>
    <w:rsid w:val="00F74BDD"/>
    <w:rsid w:val="00F763D8"/>
    <w:rsid w:val="00F7780D"/>
    <w:rsid w:val="00F81B3E"/>
    <w:rsid w:val="00F82377"/>
    <w:rsid w:val="00F84DF0"/>
    <w:rsid w:val="00F84F78"/>
    <w:rsid w:val="00F85516"/>
    <w:rsid w:val="00F863E2"/>
    <w:rsid w:val="00F86862"/>
    <w:rsid w:val="00F92005"/>
    <w:rsid w:val="00F935AD"/>
    <w:rsid w:val="00F94D55"/>
    <w:rsid w:val="00F95BF6"/>
    <w:rsid w:val="00F960A8"/>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7485-8134-427B-951C-AA62E294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林幸蓉</cp:lastModifiedBy>
  <cp:revision>3</cp:revision>
  <cp:lastPrinted>2016-06-13T08:20:00Z</cp:lastPrinted>
  <dcterms:created xsi:type="dcterms:W3CDTF">2016-06-13T06:13:00Z</dcterms:created>
  <dcterms:modified xsi:type="dcterms:W3CDTF">2016-06-13T08:21:00Z</dcterms:modified>
</cp:coreProperties>
</file>