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EA053C">
      <w:pPr>
        <w:spacing w:afterLines="20" w:after="72" w:line="32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CD03EC" w:rsidRPr="00AF1AF7">
        <w:rPr>
          <w:rFonts w:ascii="標楷體" w:eastAsia="標楷體" w:hAnsi="標楷體" w:hint="eastAsia"/>
          <w:sz w:val="32"/>
          <w:szCs w:val="32"/>
        </w:rPr>
        <w:t>4</w:t>
      </w:r>
      <w:r w:rsidR="00253D3E" w:rsidRPr="00AF1AF7">
        <w:rPr>
          <w:rFonts w:ascii="標楷體" w:eastAsia="標楷體" w:hAnsi="標楷體" w:hint="eastAsia"/>
          <w:sz w:val="32"/>
          <w:szCs w:val="32"/>
        </w:rPr>
        <w:t>年</w:t>
      </w:r>
      <w:r w:rsidR="0036206B">
        <w:rPr>
          <w:rFonts w:ascii="標楷體" w:eastAsia="標楷體" w:hAnsi="標楷體" w:hint="eastAsia"/>
          <w:sz w:val="32"/>
          <w:szCs w:val="32"/>
        </w:rPr>
        <w:t>9</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AF1AF7" w:rsidRPr="00AF1AF7" w:rsidTr="00446A64">
        <w:trPr>
          <w:tblHeader/>
        </w:trPr>
        <w:tc>
          <w:tcPr>
            <w:tcW w:w="833"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885"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3"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4A1114" w:rsidRPr="00AF1AF7" w:rsidTr="004945CC">
        <w:trPr>
          <w:trHeight w:val="2910"/>
        </w:trPr>
        <w:tc>
          <w:tcPr>
            <w:tcW w:w="833" w:type="pct"/>
            <w:shd w:val="clear" w:color="auto" w:fill="auto"/>
          </w:tcPr>
          <w:p w:rsidR="004A1114" w:rsidRPr="0063502E" w:rsidRDefault="004A1114" w:rsidP="004945CC">
            <w:pPr>
              <w:spacing w:line="340" w:lineRule="exact"/>
              <w:jc w:val="both"/>
              <w:rPr>
                <w:rFonts w:ascii="標楷體" w:eastAsia="標楷體" w:hAnsi="標楷體" w:cs="華康標楷體" w:hint="eastAsia"/>
                <w:szCs w:val="24"/>
              </w:rPr>
            </w:pPr>
            <w:r w:rsidRPr="0063502E">
              <w:rPr>
                <w:rFonts w:ascii="標楷體" w:eastAsia="標楷體" w:hAnsi="標楷體" w:cs="華康標楷體" w:hint="eastAsia"/>
                <w:szCs w:val="24"/>
              </w:rPr>
              <w:t>檢送104年特種考試地方政府公務人員考試錄取人員訓練計畫</w:t>
            </w:r>
          </w:p>
        </w:tc>
        <w:tc>
          <w:tcPr>
            <w:tcW w:w="1885" w:type="pct"/>
            <w:shd w:val="clear" w:color="auto" w:fill="auto"/>
          </w:tcPr>
          <w:p w:rsidR="004A1114" w:rsidRPr="0063502E" w:rsidRDefault="004A1114" w:rsidP="004945CC">
            <w:pPr>
              <w:numPr>
                <w:ilvl w:val="0"/>
                <w:numId w:val="8"/>
              </w:numPr>
              <w:spacing w:line="340" w:lineRule="exact"/>
              <w:ind w:left="510" w:hanging="510"/>
              <w:jc w:val="both"/>
              <w:rPr>
                <w:rFonts w:ascii="標楷體" w:eastAsia="標楷體" w:hAnsi="標楷體" w:cs="華康標楷體" w:hint="eastAsia"/>
                <w:szCs w:val="24"/>
              </w:rPr>
            </w:pPr>
            <w:r w:rsidRPr="0063502E">
              <w:rPr>
                <w:rFonts w:ascii="標楷體" w:eastAsia="標楷體" w:hAnsi="標楷體" w:cs="華康標楷體" w:hint="eastAsia"/>
                <w:szCs w:val="24"/>
              </w:rPr>
              <w:t>本訓練計畫內容，係公務人員保障暨培訓委員會配合相關法規修正公（發）布內容並參照103年本項考試錄取人員訓練計畫及104年公務人員高等暨普通考試錄取人員訓練計畫內容訂定，另配合實需酌作部分內容修正。</w:t>
            </w:r>
          </w:p>
          <w:p w:rsidR="004A1114" w:rsidRPr="0063502E" w:rsidRDefault="004A1114" w:rsidP="004945CC">
            <w:pPr>
              <w:numPr>
                <w:ilvl w:val="0"/>
                <w:numId w:val="8"/>
              </w:numPr>
              <w:spacing w:line="340" w:lineRule="exact"/>
              <w:ind w:left="510" w:hanging="510"/>
              <w:jc w:val="both"/>
              <w:rPr>
                <w:rFonts w:ascii="標楷體" w:eastAsia="標楷體" w:hAnsi="標楷體" w:cs="華康標楷體" w:hint="eastAsia"/>
                <w:szCs w:val="24"/>
              </w:rPr>
            </w:pPr>
            <w:r w:rsidRPr="0063502E">
              <w:rPr>
                <w:rFonts w:ascii="標楷體" w:eastAsia="標楷體" w:hAnsi="標楷體" w:cs="華康標楷體" w:hint="eastAsia"/>
                <w:szCs w:val="24"/>
              </w:rPr>
              <w:t>另為強化本項考試四、五等考試基礎訓練之實施，基礎訓練之訓期調整為4週，至三等考試基礎訓練仍維持5週。</w:t>
            </w:r>
          </w:p>
        </w:tc>
        <w:tc>
          <w:tcPr>
            <w:tcW w:w="1043" w:type="pct"/>
            <w:shd w:val="clear" w:color="auto" w:fill="auto"/>
          </w:tcPr>
          <w:p w:rsidR="004A1114" w:rsidRPr="0063502E" w:rsidRDefault="004A1114" w:rsidP="004945CC">
            <w:pPr>
              <w:autoSpaceDE w:val="0"/>
              <w:autoSpaceDN w:val="0"/>
              <w:adjustRightInd w:val="0"/>
              <w:spacing w:line="340" w:lineRule="exact"/>
              <w:jc w:val="both"/>
              <w:rPr>
                <w:rFonts w:ascii="標楷體" w:eastAsia="標楷體" w:hAnsi="標楷體" w:cs="華康標楷體" w:hint="eastAsia"/>
                <w:szCs w:val="24"/>
              </w:rPr>
            </w:pPr>
            <w:r w:rsidRPr="0063502E">
              <w:rPr>
                <w:rFonts w:ascii="標楷體" w:eastAsia="標楷體" w:hAnsi="標楷體" w:cs="華康標楷體" w:hint="eastAsia"/>
                <w:szCs w:val="24"/>
              </w:rPr>
              <w:t>公務人員保障暨培訓委員會民國104年9月11日公訓字第1042160739號函</w:t>
            </w:r>
          </w:p>
        </w:tc>
        <w:tc>
          <w:tcPr>
            <w:tcW w:w="942" w:type="pct"/>
            <w:shd w:val="clear" w:color="auto" w:fill="auto"/>
          </w:tcPr>
          <w:p w:rsidR="004A1114" w:rsidRPr="0063502E" w:rsidRDefault="004A1114" w:rsidP="004945CC">
            <w:pPr>
              <w:spacing w:line="340" w:lineRule="exact"/>
              <w:ind w:left="31" w:hangingChars="13" w:hanging="31"/>
              <w:jc w:val="both"/>
              <w:rPr>
                <w:rFonts w:ascii="標楷體" w:eastAsia="標楷體" w:hAnsi="標楷體" w:cs="華康標楷體" w:hint="eastAsia"/>
                <w:szCs w:val="24"/>
              </w:rPr>
            </w:pPr>
            <w:r w:rsidRPr="0063502E">
              <w:rPr>
                <w:rFonts w:ascii="標楷體" w:eastAsia="標楷體" w:hAnsi="標楷體" w:cs="華康標楷體" w:hint="eastAsia"/>
                <w:szCs w:val="24"/>
              </w:rPr>
              <w:t>臺中市政</w:t>
            </w:r>
            <w:r w:rsidRPr="0063502E">
              <w:rPr>
                <w:rFonts w:ascii="標楷體" w:eastAsia="標楷體" w:hAnsi="標楷體" w:cs="華康標楷體" w:hint="eastAsia"/>
                <w:szCs w:val="24"/>
              </w:rPr>
              <w:t>府民國104年9月15日府授人力字第1040208816號函</w:t>
            </w:r>
          </w:p>
        </w:tc>
        <w:tc>
          <w:tcPr>
            <w:tcW w:w="297" w:type="pct"/>
            <w:shd w:val="clear" w:color="auto" w:fill="auto"/>
            <w:vAlign w:val="center"/>
          </w:tcPr>
          <w:p w:rsidR="004A1114" w:rsidRPr="00AF1AF7" w:rsidRDefault="004A1114" w:rsidP="004945CC">
            <w:pPr>
              <w:spacing w:line="340" w:lineRule="exact"/>
              <w:jc w:val="both"/>
              <w:rPr>
                <w:rFonts w:ascii="標楷體" w:eastAsia="標楷體" w:hAnsi="標楷體" w:cs="華康標楷體"/>
                <w:szCs w:val="24"/>
              </w:rPr>
            </w:pPr>
          </w:p>
        </w:tc>
      </w:tr>
      <w:tr w:rsidR="004A1114" w:rsidRPr="00AF1AF7" w:rsidTr="004945CC">
        <w:trPr>
          <w:trHeight w:val="1830"/>
        </w:trPr>
        <w:tc>
          <w:tcPr>
            <w:tcW w:w="833" w:type="pct"/>
            <w:shd w:val="clear" w:color="auto" w:fill="auto"/>
          </w:tcPr>
          <w:p w:rsidR="004A1114" w:rsidRPr="0063502E" w:rsidRDefault="004A1114" w:rsidP="004945CC">
            <w:pPr>
              <w:spacing w:line="340" w:lineRule="exact"/>
              <w:jc w:val="both"/>
              <w:rPr>
                <w:rFonts w:ascii="標楷體" w:eastAsia="標楷體" w:hAnsi="標楷體" w:cs="華康標楷體" w:hint="eastAsia"/>
                <w:szCs w:val="24"/>
              </w:rPr>
            </w:pPr>
            <w:r w:rsidRPr="0063502E">
              <w:rPr>
                <w:rFonts w:ascii="標楷體" w:eastAsia="標楷體" w:hAnsi="標楷體" w:cs="華康標楷體" w:hint="eastAsia"/>
                <w:szCs w:val="24"/>
              </w:rPr>
              <w:t>應101年特種考試交通事業鐵路人員考試員級考試技術類電子工程科考試及格人員得適用電子工程職系</w:t>
            </w:r>
          </w:p>
        </w:tc>
        <w:tc>
          <w:tcPr>
            <w:tcW w:w="1885" w:type="pct"/>
            <w:shd w:val="clear" w:color="auto" w:fill="auto"/>
          </w:tcPr>
          <w:p w:rsidR="004A1114" w:rsidRPr="0063502E" w:rsidRDefault="004A1114" w:rsidP="004945CC">
            <w:pPr>
              <w:spacing w:line="340" w:lineRule="exact"/>
              <w:ind w:firstLineChars="200" w:firstLine="480"/>
              <w:jc w:val="both"/>
              <w:rPr>
                <w:rFonts w:ascii="標楷體" w:eastAsia="標楷體" w:hAnsi="標楷體" w:cs="華康標楷體" w:hint="eastAsia"/>
                <w:szCs w:val="24"/>
              </w:rPr>
            </w:pPr>
            <w:r w:rsidRPr="0063502E">
              <w:rPr>
                <w:rFonts w:ascii="標楷體" w:eastAsia="標楷體" w:hAnsi="標楷體" w:cs="華康標楷體" w:hint="eastAsia"/>
                <w:szCs w:val="24"/>
              </w:rPr>
              <w:t>銓敘部令頒應101年特種考試交通事業鐵路人員考試員級考試技術類電子工程科考試及格人員得適用電子工程職系。</w:t>
            </w:r>
          </w:p>
        </w:tc>
        <w:tc>
          <w:tcPr>
            <w:tcW w:w="1043" w:type="pct"/>
            <w:shd w:val="clear" w:color="auto" w:fill="auto"/>
          </w:tcPr>
          <w:p w:rsidR="004A1114" w:rsidRPr="0063502E" w:rsidRDefault="004A1114" w:rsidP="004945CC">
            <w:pPr>
              <w:autoSpaceDE w:val="0"/>
              <w:autoSpaceDN w:val="0"/>
              <w:adjustRightInd w:val="0"/>
              <w:spacing w:line="340" w:lineRule="exact"/>
              <w:jc w:val="both"/>
              <w:rPr>
                <w:rFonts w:ascii="標楷體" w:eastAsia="標楷體" w:hAnsi="標楷體" w:cs="華康標楷體" w:hint="eastAsia"/>
                <w:szCs w:val="24"/>
              </w:rPr>
            </w:pPr>
            <w:r w:rsidRPr="0063502E">
              <w:rPr>
                <w:rFonts w:ascii="標楷體" w:eastAsia="標楷體" w:hAnsi="標楷體" w:cs="華康標楷體" w:hint="eastAsia"/>
                <w:szCs w:val="24"/>
              </w:rPr>
              <w:t>銓敘部民國104年9月21日部法三字第1044020412號令</w:t>
            </w:r>
          </w:p>
        </w:tc>
        <w:tc>
          <w:tcPr>
            <w:tcW w:w="942" w:type="pct"/>
            <w:shd w:val="clear" w:color="auto" w:fill="auto"/>
          </w:tcPr>
          <w:p w:rsidR="004A1114" w:rsidRPr="0063502E" w:rsidRDefault="004A1114" w:rsidP="004945CC">
            <w:pPr>
              <w:spacing w:line="340" w:lineRule="exact"/>
              <w:ind w:left="31" w:hangingChars="13" w:hanging="31"/>
              <w:jc w:val="both"/>
              <w:rPr>
                <w:rFonts w:ascii="標楷體" w:eastAsia="標楷體" w:hAnsi="標楷體" w:cs="華康標楷體" w:hint="eastAsia"/>
                <w:szCs w:val="24"/>
              </w:rPr>
            </w:pPr>
            <w:r w:rsidRPr="0063502E">
              <w:rPr>
                <w:rFonts w:ascii="標楷體" w:eastAsia="標楷體" w:hAnsi="標楷體" w:cs="華康標楷體" w:hint="eastAsia"/>
                <w:szCs w:val="24"/>
              </w:rPr>
              <w:t>臺中市政</w:t>
            </w:r>
            <w:r w:rsidRPr="0063502E">
              <w:rPr>
                <w:rFonts w:ascii="標楷體" w:eastAsia="標楷體" w:hAnsi="標楷體" w:cs="華康標楷體" w:hint="eastAsia"/>
                <w:szCs w:val="24"/>
              </w:rPr>
              <w:t>府民國104年9月24日府授人力字第1040217791號函</w:t>
            </w:r>
          </w:p>
        </w:tc>
        <w:tc>
          <w:tcPr>
            <w:tcW w:w="297" w:type="pct"/>
            <w:shd w:val="clear" w:color="auto" w:fill="auto"/>
            <w:vAlign w:val="center"/>
          </w:tcPr>
          <w:p w:rsidR="004A1114" w:rsidRPr="00AF1AF7" w:rsidRDefault="004A1114" w:rsidP="004945CC">
            <w:pPr>
              <w:spacing w:line="340" w:lineRule="exact"/>
              <w:jc w:val="both"/>
              <w:rPr>
                <w:rFonts w:ascii="標楷體" w:eastAsia="標楷體" w:hAnsi="標楷體" w:cs="華康標楷體"/>
                <w:szCs w:val="24"/>
              </w:rPr>
            </w:pPr>
          </w:p>
        </w:tc>
      </w:tr>
      <w:tr w:rsidR="0063502E" w:rsidRPr="00AF1AF7" w:rsidTr="004945CC">
        <w:trPr>
          <w:trHeight w:val="2552"/>
        </w:trPr>
        <w:tc>
          <w:tcPr>
            <w:tcW w:w="833" w:type="pct"/>
            <w:shd w:val="clear" w:color="auto" w:fill="auto"/>
          </w:tcPr>
          <w:p w:rsidR="0063502E" w:rsidRPr="002D432D" w:rsidRDefault="0063502E" w:rsidP="004945CC">
            <w:pPr>
              <w:spacing w:line="340" w:lineRule="exact"/>
              <w:jc w:val="both"/>
              <w:rPr>
                <w:rFonts w:ascii="標楷體" w:eastAsia="標楷體" w:hAnsi="標楷體"/>
                <w:szCs w:val="24"/>
              </w:rPr>
            </w:pPr>
            <w:r w:rsidRPr="00DF0009">
              <w:rPr>
                <w:rFonts w:ascii="標楷體" w:eastAsia="標楷體" w:hAnsi="標楷體" w:hint="eastAsia"/>
                <w:szCs w:val="24"/>
              </w:rPr>
              <w:t>有關原適用勞動基準法人員已請產檢假，嗣轉任為聘僱人員之產前假應如何核給案</w:t>
            </w:r>
          </w:p>
        </w:tc>
        <w:tc>
          <w:tcPr>
            <w:tcW w:w="1885" w:type="pct"/>
            <w:shd w:val="clear" w:color="auto" w:fill="auto"/>
          </w:tcPr>
          <w:p w:rsidR="0063502E" w:rsidRPr="009108E8" w:rsidRDefault="0063502E" w:rsidP="004945CC">
            <w:pPr>
              <w:spacing w:line="340" w:lineRule="exact"/>
              <w:ind w:firstLineChars="200" w:firstLine="480"/>
              <w:jc w:val="both"/>
              <w:rPr>
                <w:rFonts w:ascii="標楷體" w:eastAsia="標楷體" w:hAnsi="標楷體"/>
              </w:rPr>
            </w:pPr>
            <w:r w:rsidRPr="00DF0009">
              <w:rPr>
                <w:rFonts w:ascii="標楷體" w:eastAsia="標楷體" w:hAnsi="標楷體" w:hint="eastAsia"/>
              </w:rPr>
              <w:t>考量性別工作平等法所定之產檢假，與行政院所屬中央及地方各機關聘僱人員給假辦法所訂之產前假性質相當且規範目的相同，為期聘僱人員與公務人員給假之衡平，原適用勞動基準法人員已請產檢假，嗣轉任為聘僱人員，其產前假之核給，服務機關應在不重複給假原則下，以8日產前假扣除前已核給之產檢假日數，再核給所餘之產前假。</w:t>
            </w:r>
          </w:p>
        </w:tc>
        <w:tc>
          <w:tcPr>
            <w:tcW w:w="1043" w:type="pct"/>
            <w:shd w:val="clear" w:color="auto" w:fill="auto"/>
          </w:tcPr>
          <w:p w:rsidR="0063502E" w:rsidRPr="002D432D" w:rsidRDefault="0063502E" w:rsidP="004945CC">
            <w:pPr>
              <w:spacing w:line="340" w:lineRule="exact"/>
              <w:jc w:val="both"/>
              <w:rPr>
                <w:rFonts w:ascii="標楷體" w:eastAsia="標楷體" w:hAnsi="標楷體"/>
                <w:szCs w:val="24"/>
              </w:rPr>
            </w:pPr>
            <w:r w:rsidRPr="00DF0009">
              <w:rPr>
                <w:rFonts w:ascii="標楷體" w:eastAsia="標楷體" w:hAnsi="標楷體" w:hint="eastAsia"/>
                <w:szCs w:val="24"/>
              </w:rPr>
              <w:t>行政院人事行政總處民國104年9月1日總處培字第1040045238號函</w:t>
            </w:r>
          </w:p>
        </w:tc>
        <w:tc>
          <w:tcPr>
            <w:tcW w:w="942" w:type="pct"/>
            <w:shd w:val="clear" w:color="auto" w:fill="auto"/>
          </w:tcPr>
          <w:p w:rsidR="0063502E" w:rsidRPr="009108E8" w:rsidRDefault="0063502E" w:rsidP="004945CC">
            <w:pPr>
              <w:spacing w:line="340" w:lineRule="exact"/>
              <w:jc w:val="both"/>
              <w:rPr>
                <w:rFonts w:ascii="標楷體" w:eastAsia="標楷體" w:hAnsi="標楷體"/>
                <w:szCs w:val="24"/>
              </w:rPr>
            </w:pPr>
            <w:r w:rsidRPr="0063502E">
              <w:rPr>
                <w:rFonts w:ascii="標楷體" w:eastAsia="標楷體" w:hAnsi="標楷體" w:cs="華康標楷體" w:hint="eastAsia"/>
                <w:szCs w:val="24"/>
              </w:rPr>
              <w:t>臺中市政</w:t>
            </w:r>
            <w:r w:rsidRPr="00DF0009">
              <w:rPr>
                <w:rFonts w:ascii="標楷體" w:eastAsia="標楷體" w:hAnsi="標楷體" w:hint="eastAsia"/>
                <w:szCs w:val="24"/>
              </w:rPr>
              <w:t>府民國104年9月2日府授人考字第1040199407號函</w:t>
            </w:r>
          </w:p>
        </w:tc>
        <w:tc>
          <w:tcPr>
            <w:tcW w:w="297" w:type="pct"/>
            <w:shd w:val="clear" w:color="auto" w:fill="auto"/>
            <w:vAlign w:val="center"/>
          </w:tcPr>
          <w:p w:rsidR="0063502E" w:rsidRPr="00AF1AF7" w:rsidRDefault="0063502E" w:rsidP="004945CC">
            <w:pPr>
              <w:spacing w:line="340" w:lineRule="exact"/>
              <w:jc w:val="both"/>
              <w:rPr>
                <w:rFonts w:ascii="標楷體" w:eastAsia="標楷體" w:hAnsi="標楷體" w:cs="華康標楷體"/>
                <w:szCs w:val="24"/>
              </w:rPr>
            </w:pPr>
          </w:p>
        </w:tc>
      </w:tr>
      <w:tr w:rsidR="0063502E" w:rsidRPr="00AF1AF7" w:rsidTr="004945CC">
        <w:trPr>
          <w:trHeight w:val="4166"/>
        </w:trPr>
        <w:tc>
          <w:tcPr>
            <w:tcW w:w="833" w:type="pct"/>
            <w:shd w:val="clear" w:color="auto" w:fill="auto"/>
          </w:tcPr>
          <w:p w:rsidR="0063502E" w:rsidRPr="002D432D" w:rsidRDefault="0063502E" w:rsidP="004945CC">
            <w:pPr>
              <w:spacing w:line="340" w:lineRule="exact"/>
              <w:jc w:val="both"/>
              <w:rPr>
                <w:rFonts w:ascii="標楷體" w:eastAsia="標楷體" w:hAnsi="標楷體"/>
                <w:szCs w:val="24"/>
              </w:rPr>
            </w:pPr>
            <w:r w:rsidRPr="00DF0009">
              <w:rPr>
                <w:rFonts w:ascii="標楷體" w:eastAsia="標楷體" w:hAnsi="標楷體" w:hint="eastAsia"/>
                <w:szCs w:val="24"/>
              </w:rPr>
              <w:lastRenderedPageBreak/>
              <w:t>關於女性公務人員請生理假相關規定案</w:t>
            </w:r>
          </w:p>
        </w:tc>
        <w:tc>
          <w:tcPr>
            <w:tcW w:w="1885" w:type="pct"/>
            <w:shd w:val="clear" w:color="auto" w:fill="auto"/>
          </w:tcPr>
          <w:p w:rsidR="0063502E" w:rsidRPr="002D432D" w:rsidRDefault="0063502E" w:rsidP="004945CC">
            <w:pPr>
              <w:spacing w:line="340" w:lineRule="exact"/>
              <w:ind w:firstLineChars="200" w:firstLine="480"/>
              <w:jc w:val="both"/>
              <w:rPr>
                <w:rFonts w:ascii="標楷體" w:eastAsia="標楷體" w:hAnsi="標楷體"/>
                <w:szCs w:val="24"/>
              </w:rPr>
            </w:pPr>
            <w:r w:rsidRPr="00DF0009">
              <w:rPr>
                <w:rFonts w:ascii="標楷體" w:eastAsia="標楷體" w:hAnsi="標楷體" w:hint="eastAsia"/>
                <w:szCs w:val="24"/>
              </w:rPr>
              <w:t>查性別工作平等法（以下簡稱性平法）第14條規定略以，受僱者全年度所請併入病假之生理假連同病假之日數，已屆受僱者所適用相關法令所定病假之日數上限者，如年度內再有請生理假之需求，仍可依性平法第14條規定請生理假，但雇主得不給付薪資。茲以公務人員為性平法適用對象，是女性公務人員依公務人員請假規則請病假（含生理假）、事假合計已滿33日（按：病假28日及事假5日）時，倘仍有請生理假之需求，依上開勞動部令釋，於每月1日額度內，得再請扣除俸（薪）給之生理假，且該等生理假不作為其考績之考量因素。</w:t>
            </w:r>
          </w:p>
        </w:tc>
        <w:tc>
          <w:tcPr>
            <w:tcW w:w="1043" w:type="pct"/>
            <w:shd w:val="clear" w:color="auto" w:fill="auto"/>
          </w:tcPr>
          <w:p w:rsidR="0063502E" w:rsidRPr="002D432D" w:rsidRDefault="0063502E" w:rsidP="004945CC">
            <w:pPr>
              <w:spacing w:line="340" w:lineRule="exact"/>
              <w:jc w:val="both"/>
              <w:rPr>
                <w:rFonts w:ascii="標楷體" w:eastAsia="標楷體" w:hAnsi="標楷體"/>
                <w:szCs w:val="24"/>
              </w:rPr>
            </w:pPr>
            <w:r w:rsidRPr="00DF0009">
              <w:rPr>
                <w:rFonts w:ascii="標楷體" w:eastAsia="標楷體" w:hAnsi="標楷體" w:hint="eastAsia"/>
                <w:szCs w:val="24"/>
              </w:rPr>
              <w:t>銓敘部民國104年9月18日部法二字第1044015378號函</w:t>
            </w:r>
          </w:p>
        </w:tc>
        <w:tc>
          <w:tcPr>
            <w:tcW w:w="942" w:type="pct"/>
            <w:shd w:val="clear" w:color="auto" w:fill="auto"/>
          </w:tcPr>
          <w:p w:rsidR="0063502E" w:rsidRPr="009108E8" w:rsidRDefault="0063502E" w:rsidP="004945CC">
            <w:pPr>
              <w:spacing w:line="340" w:lineRule="exact"/>
              <w:jc w:val="both"/>
              <w:rPr>
                <w:rFonts w:ascii="標楷體" w:eastAsia="標楷體" w:hAnsi="標楷體"/>
                <w:szCs w:val="24"/>
              </w:rPr>
            </w:pPr>
            <w:r w:rsidRPr="0063502E">
              <w:rPr>
                <w:rFonts w:ascii="標楷體" w:eastAsia="標楷體" w:hAnsi="標楷體" w:cs="華康標楷體" w:hint="eastAsia"/>
                <w:szCs w:val="24"/>
              </w:rPr>
              <w:t>臺中市政</w:t>
            </w:r>
            <w:r w:rsidRPr="00DF0009">
              <w:rPr>
                <w:rFonts w:ascii="標楷體" w:eastAsia="標楷體" w:hAnsi="標楷體" w:hint="eastAsia"/>
                <w:szCs w:val="24"/>
              </w:rPr>
              <w:t>府民國104年9月18日府授人考字第1040214153號函</w:t>
            </w:r>
          </w:p>
        </w:tc>
        <w:tc>
          <w:tcPr>
            <w:tcW w:w="297" w:type="pct"/>
            <w:shd w:val="clear" w:color="auto" w:fill="auto"/>
            <w:vAlign w:val="center"/>
          </w:tcPr>
          <w:p w:rsidR="0063502E" w:rsidRPr="00AF1AF7" w:rsidRDefault="0063502E" w:rsidP="004945CC">
            <w:pPr>
              <w:spacing w:line="340" w:lineRule="exact"/>
              <w:jc w:val="both"/>
              <w:rPr>
                <w:rFonts w:ascii="標楷體" w:eastAsia="標楷體" w:hAnsi="標楷體" w:cs="華康標楷體"/>
                <w:szCs w:val="24"/>
              </w:rPr>
            </w:pPr>
          </w:p>
        </w:tc>
      </w:tr>
      <w:tr w:rsidR="0063502E" w:rsidRPr="00AF1AF7" w:rsidTr="004945CC">
        <w:trPr>
          <w:trHeight w:val="2821"/>
        </w:trPr>
        <w:tc>
          <w:tcPr>
            <w:tcW w:w="833" w:type="pct"/>
            <w:shd w:val="clear" w:color="auto" w:fill="auto"/>
          </w:tcPr>
          <w:p w:rsidR="0063502E" w:rsidRPr="0034636D" w:rsidRDefault="0063502E" w:rsidP="004945CC">
            <w:pPr>
              <w:spacing w:line="340" w:lineRule="exact"/>
              <w:rPr>
                <w:rFonts w:ascii="標楷體" w:eastAsia="標楷體" w:hAnsi="標楷體"/>
                <w:szCs w:val="24"/>
              </w:rPr>
            </w:pPr>
            <w:r>
              <w:rPr>
                <w:rFonts w:ascii="標楷體" w:eastAsia="標楷體" w:hAnsi="標楷體" w:cs="細明體" w:hint="eastAsia"/>
                <w:bCs/>
                <w:szCs w:val="24"/>
              </w:rPr>
              <w:t>修正</w:t>
            </w:r>
            <w:r w:rsidRPr="0034636D">
              <w:rPr>
                <w:rFonts w:ascii="標楷體" w:eastAsia="標楷體" w:hAnsi="標楷體" w:cs="細明體" w:hint="eastAsia"/>
                <w:bCs/>
                <w:szCs w:val="24"/>
              </w:rPr>
              <w:t>考績委員會組織規程第2條</w:t>
            </w:r>
          </w:p>
        </w:tc>
        <w:tc>
          <w:tcPr>
            <w:tcW w:w="1885" w:type="pct"/>
            <w:shd w:val="clear" w:color="auto" w:fill="auto"/>
          </w:tcPr>
          <w:p w:rsidR="0063502E" w:rsidRPr="00DF0009" w:rsidRDefault="0063502E" w:rsidP="004945CC">
            <w:pPr>
              <w:spacing w:line="340" w:lineRule="exact"/>
              <w:ind w:firstLineChars="200" w:firstLine="480"/>
              <w:jc w:val="both"/>
              <w:rPr>
                <w:rFonts w:ascii="標楷體" w:eastAsia="標楷體" w:hAnsi="標楷體"/>
                <w:szCs w:val="24"/>
              </w:rPr>
            </w:pPr>
            <w:r w:rsidRPr="002E56C2">
              <w:rPr>
                <w:rFonts w:ascii="標楷體" w:eastAsia="標楷體" w:hAnsi="標楷體" w:cs="細明體" w:hint="eastAsia"/>
                <w:bCs/>
                <w:szCs w:val="24"/>
              </w:rPr>
              <w:t>考試院為落實國家性別平等政策乃增訂考績委員會委員任一性別比例規定，修正票選委員之選舉方式，增訂各機關組織法規所定兼任部分職務人員得為其考績委員會之當然委員或指定委員，以及各主管機關已成立公務人員協會者，如公務人員協會拒絕推薦指定委員人選供機關首長指定時，其考績委員會之指定委員中得無公務人員協會代表等規定，以利各機關依循。</w:t>
            </w:r>
          </w:p>
        </w:tc>
        <w:tc>
          <w:tcPr>
            <w:tcW w:w="1043" w:type="pct"/>
            <w:shd w:val="clear" w:color="auto" w:fill="auto"/>
          </w:tcPr>
          <w:p w:rsidR="0063502E" w:rsidRPr="00DF0009" w:rsidRDefault="0063502E" w:rsidP="004945CC">
            <w:pPr>
              <w:spacing w:line="340" w:lineRule="exact"/>
              <w:jc w:val="both"/>
              <w:rPr>
                <w:rFonts w:ascii="標楷體" w:eastAsia="標楷體" w:hAnsi="標楷體"/>
                <w:szCs w:val="24"/>
              </w:rPr>
            </w:pPr>
            <w:r>
              <w:rPr>
                <w:rFonts w:ascii="標楷體" w:eastAsia="標楷體" w:hAnsi="標楷體" w:hint="eastAsia"/>
                <w:szCs w:val="24"/>
              </w:rPr>
              <w:t>銓敘部民國104年9月25日部法二字第1044020775號函</w:t>
            </w:r>
          </w:p>
        </w:tc>
        <w:tc>
          <w:tcPr>
            <w:tcW w:w="942" w:type="pct"/>
            <w:shd w:val="clear" w:color="auto" w:fill="auto"/>
          </w:tcPr>
          <w:p w:rsidR="0063502E" w:rsidRPr="00DF0009" w:rsidRDefault="0063502E" w:rsidP="004945CC">
            <w:pPr>
              <w:spacing w:line="340" w:lineRule="exact"/>
              <w:jc w:val="both"/>
              <w:rPr>
                <w:rFonts w:ascii="標楷體" w:eastAsia="標楷體" w:hAnsi="標楷體"/>
                <w:szCs w:val="24"/>
              </w:rPr>
            </w:pPr>
            <w:r w:rsidRPr="0063502E">
              <w:rPr>
                <w:rFonts w:ascii="標楷體" w:eastAsia="標楷體" w:hAnsi="標楷體" w:cs="華康標楷體" w:hint="eastAsia"/>
                <w:szCs w:val="24"/>
              </w:rPr>
              <w:t>臺中市政</w:t>
            </w:r>
            <w:r w:rsidRPr="00DF0009">
              <w:rPr>
                <w:rFonts w:ascii="標楷體" w:eastAsia="標楷體" w:hAnsi="標楷體" w:hint="eastAsia"/>
                <w:szCs w:val="24"/>
              </w:rPr>
              <w:t>府</w:t>
            </w:r>
            <w:r>
              <w:rPr>
                <w:rFonts w:ascii="標楷體" w:eastAsia="標楷體" w:hAnsi="標楷體" w:hint="eastAsia"/>
                <w:szCs w:val="24"/>
              </w:rPr>
              <w:t>民國104年10月5日府授人考字第1040221842號函</w:t>
            </w:r>
          </w:p>
        </w:tc>
        <w:tc>
          <w:tcPr>
            <w:tcW w:w="297" w:type="pct"/>
            <w:shd w:val="clear" w:color="auto" w:fill="auto"/>
            <w:vAlign w:val="center"/>
          </w:tcPr>
          <w:p w:rsidR="0063502E" w:rsidRPr="00AF1AF7" w:rsidRDefault="0063502E" w:rsidP="004945CC">
            <w:pPr>
              <w:spacing w:line="340" w:lineRule="exact"/>
              <w:jc w:val="both"/>
              <w:rPr>
                <w:rFonts w:ascii="標楷體" w:eastAsia="標楷體" w:hAnsi="標楷體" w:cs="華康標楷體"/>
                <w:szCs w:val="24"/>
              </w:rPr>
            </w:pPr>
          </w:p>
        </w:tc>
      </w:tr>
      <w:tr w:rsidR="0063502E" w:rsidRPr="00AF1AF7" w:rsidTr="00BC553E">
        <w:trPr>
          <w:trHeight w:val="481"/>
        </w:trPr>
        <w:tc>
          <w:tcPr>
            <w:tcW w:w="833" w:type="pct"/>
            <w:shd w:val="clear" w:color="auto" w:fill="auto"/>
          </w:tcPr>
          <w:p w:rsidR="0063502E" w:rsidRPr="00B56E55" w:rsidRDefault="0063502E" w:rsidP="004945CC">
            <w:pPr>
              <w:spacing w:line="340" w:lineRule="exact"/>
              <w:rPr>
                <w:rFonts w:ascii="標楷體" w:eastAsia="標楷體" w:hAnsi="標楷體"/>
                <w:szCs w:val="24"/>
              </w:rPr>
            </w:pPr>
            <w:bookmarkStart w:id="0" w:name="_GoBack"/>
            <w:bookmarkEnd w:id="0"/>
            <w:r>
              <w:rPr>
                <w:rFonts w:ascii="標楷體" w:eastAsia="標楷體" w:hAnsi="標楷體" w:hint="eastAsia"/>
                <w:color w:val="000000"/>
                <w:szCs w:val="24"/>
              </w:rPr>
              <w:t>有關外交</w:t>
            </w:r>
            <w:r w:rsidRPr="000D30FD">
              <w:rPr>
                <w:rFonts w:ascii="標楷體" w:eastAsia="標楷體" w:hAnsi="標楷體" w:hint="eastAsia"/>
                <w:color w:val="000000"/>
                <w:szCs w:val="24"/>
              </w:rPr>
              <w:t>部代辦政府各機關「因公赴國外出差或返國述職人員綜合保險」要保書及</w:t>
            </w:r>
            <w:r w:rsidRPr="000D30FD">
              <w:rPr>
                <w:rFonts w:ascii="標楷體" w:eastAsia="標楷體" w:hAnsi="標楷體" w:hint="eastAsia"/>
                <w:color w:val="000000"/>
                <w:szCs w:val="24"/>
              </w:rPr>
              <w:lastRenderedPageBreak/>
              <w:t>保險單條款配合修正調整事宜</w:t>
            </w:r>
          </w:p>
        </w:tc>
        <w:tc>
          <w:tcPr>
            <w:tcW w:w="1885" w:type="pct"/>
            <w:shd w:val="clear" w:color="auto" w:fill="auto"/>
          </w:tcPr>
          <w:p w:rsidR="0063502E" w:rsidRPr="0063502E" w:rsidRDefault="0063502E" w:rsidP="004945CC">
            <w:pPr>
              <w:spacing w:line="340" w:lineRule="exact"/>
              <w:ind w:left="480" w:hangingChars="200" w:hanging="480"/>
              <w:jc w:val="both"/>
              <w:rPr>
                <w:rFonts w:ascii="標楷體" w:eastAsia="標楷體" w:hAnsi="標楷體" w:hint="eastAsia"/>
                <w:color w:val="000000"/>
                <w:szCs w:val="24"/>
              </w:rPr>
            </w:pPr>
            <w:r w:rsidRPr="0063502E">
              <w:rPr>
                <w:rFonts w:ascii="標楷體" w:eastAsia="標楷體" w:hAnsi="標楷體" w:hint="eastAsia"/>
                <w:color w:val="000000"/>
                <w:szCs w:val="24"/>
              </w:rPr>
              <w:lastRenderedPageBreak/>
              <w:t>一、明台產物保險股份有限公司104年8月24日明傷醫字第1040777號函告配合金管會保險法修正第29條，調整外交部「因公赴國外出差或返國述職人員綜合保險」要保書及保險單</w:t>
            </w:r>
            <w:r w:rsidRPr="0063502E">
              <w:rPr>
                <w:rFonts w:ascii="標楷體" w:eastAsia="標楷體" w:hAnsi="標楷體" w:hint="eastAsia"/>
                <w:color w:val="000000"/>
                <w:szCs w:val="24"/>
              </w:rPr>
              <w:lastRenderedPageBreak/>
              <w:t>條款。</w:t>
            </w:r>
          </w:p>
          <w:p w:rsidR="0063502E" w:rsidRPr="0063502E" w:rsidRDefault="0063502E" w:rsidP="004945CC">
            <w:pPr>
              <w:spacing w:line="340" w:lineRule="exact"/>
              <w:ind w:left="480" w:hangingChars="200" w:hanging="480"/>
              <w:jc w:val="both"/>
              <w:rPr>
                <w:rFonts w:ascii="標楷體" w:eastAsia="標楷體" w:hAnsi="標楷體" w:hint="eastAsia"/>
                <w:color w:val="000000"/>
                <w:szCs w:val="24"/>
              </w:rPr>
            </w:pPr>
            <w:r w:rsidRPr="0063502E">
              <w:rPr>
                <w:rFonts w:ascii="標楷體" w:eastAsia="標楷體" w:hAnsi="標楷體" w:hint="eastAsia"/>
                <w:color w:val="000000"/>
                <w:szCs w:val="24"/>
              </w:rPr>
              <w:t xml:space="preserve">二、本案之保險項目、保險額度、保險金額等均未變動。餘配合修正調整事項如下： </w:t>
            </w:r>
          </w:p>
          <w:p w:rsidR="0063502E" w:rsidRPr="0063502E" w:rsidRDefault="0063502E" w:rsidP="004945CC">
            <w:pPr>
              <w:spacing w:line="340" w:lineRule="exact"/>
              <w:ind w:leftChars="100" w:left="720" w:hangingChars="200" w:hanging="480"/>
              <w:jc w:val="both"/>
              <w:rPr>
                <w:rFonts w:ascii="標楷體" w:eastAsia="標楷體" w:hAnsi="標楷體" w:hint="eastAsia"/>
                <w:color w:val="000000"/>
                <w:szCs w:val="24"/>
              </w:rPr>
            </w:pPr>
            <w:r w:rsidRPr="0063502E">
              <w:rPr>
                <w:rFonts w:ascii="標楷體" w:eastAsia="標楷體" w:hAnsi="標楷體" w:hint="eastAsia"/>
                <w:color w:val="000000"/>
                <w:szCs w:val="24"/>
              </w:rPr>
              <w:t>(一)修正「要保書」：新增身故保險金受益人之聯絡地址及電話資料欄位，若未同意填寫（可填「法定繼承人」），則以身故要保人最後所留聯絡方式做為通知依據。</w:t>
            </w:r>
          </w:p>
          <w:p w:rsidR="0063502E" w:rsidRPr="008706FD" w:rsidRDefault="0063502E" w:rsidP="004945CC">
            <w:pPr>
              <w:spacing w:line="340" w:lineRule="exact"/>
              <w:ind w:leftChars="100" w:left="720" w:hangingChars="200" w:hanging="480"/>
              <w:jc w:val="both"/>
              <w:rPr>
                <w:rFonts w:ascii="標楷體" w:eastAsia="標楷體" w:hAnsi="標楷體" w:cs="新細明體"/>
                <w:kern w:val="0"/>
                <w:sz w:val="20"/>
                <w:szCs w:val="20"/>
              </w:rPr>
            </w:pPr>
            <w:r w:rsidRPr="0063502E">
              <w:rPr>
                <w:rFonts w:ascii="標楷體" w:eastAsia="標楷體" w:hAnsi="標楷體" w:hint="eastAsia"/>
                <w:color w:val="000000"/>
                <w:szCs w:val="24"/>
              </w:rPr>
              <w:t>(二</w:t>
            </w:r>
            <w:r w:rsidRPr="0063502E">
              <w:rPr>
                <w:rFonts w:ascii="標楷體" w:eastAsia="標楷體" w:hAnsi="標楷體"/>
                <w:color w:val="000000"/>
                <w:szCs w:val="24"/>
              </w:rPr>
              <w:t>）</w:t>
            </w:r>
            <w:r w:rsidRPr="0063502E">
              <w:rPr>
                <w:rFonts w:ascii="標楷體" w:eastAsia="標楷體" w:hAnsi="標楷體" w:hint="eastAsia"/>
                <w:color w:val="000000"/>
                <w:szCs w:val="24"/>
              </w:rPr>
              <w:t>增加「殘廢程度與保險金給付表」分類標準之項目。</w:t>
            </w:r>
          </w:p>
        </w:tc>
        <w:tc>
          <w:tcPr>
            <w:tcW w:w="1043" w:type="pct"/>
            <w:shd w:val="clear" w:color="auto" w:fill="auto"/>
          </w:tcPr>
          <w:p w:rsidR="0063502E" w:rsidRPr="00B56E55" w:rsidRDefault="0063502E" w:rsidP="004945CC">
            <w:pPr>
              <w:spacing w:line="340" w:lineRule="exact"/>
              <w:jc w:val="both"/>
              <w:rPr>
                <w:rFonts w:ascii="標楷體" w:eastAsia="標楷體" w:hAnsi="標楷體" w:hint="eastAsia"/>
                <w:szCs w:val="24"/>
              </w:rPr>
            </w:pPr>
            <w:r>
              <w:rPr>
                <w:rFonts w:ascii="標楷體" w:eastAsia="標楷體" w:hAnsi="標楷體" w:hint="eastAsia"/>
                <w:szCs w:val="24"/>
              </w:rPr>
              <w:lastRenderedPageBreak/>
              <w:t>外交部</w:t>
            </w:r>
            <w:r w:rsidRPr="00B56E55">
              <w:rPr>
                <w:rFonts w:ascii="標楷體" w:eastAsia="標楷體" w:hAnsi="標楷體" w:hint="eastAsia"/>
                <w:szCs w:val="24"/>
              </w:rPr>
              <w:t>民國104年</w:t>
            </w:r>
            <w:r>
              <w:rPr>
                <w:rFonts w:ascii="標楷體" w:eastAsia="標楷體" w:hAnsi="標楷體" w:hint="eastAsia"/>
                <w:szCs w:val="24"/>
              </w:rPr>
              <w:t>9</w:t>
            </w:r>
            <w:r w:rsidRPr="00B56E55">
              <w:rPr>
                <w:rFonts w:ascii="標楷體" w:eastAsia="標楷體" w:hAnsi="標楷體" w:hint="eastAsia"/>
                <w:szCs w:val="24"/>
              </w:rPr>
              <w:t>月</w:t>
            </w:r>
            <w:r>
              <w:rPr>
                <w:rFonts w:ascii="標楷體" w:eastAsia="標楷體" w:hAnsi="標楷體" w:hint="eastAsia"/>
                <w:szCs w:val="24"/>
              </w:rPr>
              <w:t>1</w:t>
            </w:r>
            <w:r w:rsidRPr="00B56E55">
              <w:rPr>
                <w:rFonts w:ascii="標楷體" w:eastAsia="標楷體" w:hAnsi="標楷體" w:hint="eastAsia"/>
                <w:szCs w:val="24"/>
              </w:rPr>
              <w:t>日</w:t>
            </w:r>
            <w:r>
              <w:rPr>
                <w:rFonts w:ascii="標楷體" w:eastAsia="標楷體" w:hAnsi="標楷體" w:hint="eastAsia"/>
                <w:szCs w:val="24"/>
              </w:rPr>
              <w:t>外秘庶</w:t>
            </w:r>
            <w:r w:rsidRPr="009A2434">
              <w:rPr>
                <w:rFonts w:ascii="標楷體" w:eastAsia="標楷體" w:hAnsi="標楷體" w:hint="eastAsia"/>
                <w:szCs w:val="24"/>
              </w:rPr>
              <w:t>字第</w:t>
            </w:r>
            <w:r>
              <w:rPr>
                <w:rFonts w:ascii="標楷體" w:eastAsia="標楷體" w:hAnsi="標楷體" w:hint="eastAsia"/>
                <w:szCs w:val="24"/>
              </w:rPr>
              <w:t>10401094631</w:t>
            </w:r>
            <w:r w:rsidRPr="009A2434">
              <w:rPr>
                <w:rFonts w:ascii="標楷體" w:eastAsia="標楷體" w:hAnsi="標楷體" w:hint="eastAsia"/>
                <w:szCs w:val="24"/>
              </w:rPr>
              <w:t>號</w:t>
            </w:r>
            <w:r>
              <w:rPr>
                <w:rFonts w:ascii="標楷體" w:eastAsia="標楷體" w:hAnsi="標楷體" w:hint="eastAsia"/>
                <w:szCs w:val="24"/>
              </w:rPr>
              <w:t>函</w:t>
            </w:r>
          </w:p>
        </w:tc>
        <w:tc>
          <w:tcPr>
            <w:tcW w:w="942" w:type="pct"/>
            <w:shd w:val="clear" w:color="auto" w:fill="auto"/>
          </w:tcPr>
          <w:p w:rsidR="0063502E" w:rsidRPr="00B56E55" w:rsidRDefault="0063502E" w:rsidP="004945CC">
            <w:pPr>
              <w:spacing w:line="340" w:lineRule="exact"/>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B56E55">
              <w:rPr>
                <w:rFonts w:ascii="標楷體" w:eastAsia="標楷體" w:hAnsi="標楷體" w:hint="eastAsia"/>
                <w:szCs w:val="24"/>
              </w:rPr>
              <w:t>民國104年</w:t>
            </w:r>
            <w:r>
              <w:rPr>
                <w:rFonts w:ascii="標楷體" w:eastAsia="標楷體" w:hAnsi="標楷體" w:hint="eastAsia"/>
                <w:szCs w:val="24"/>
              </w:rPr>
              <w:t>9</w:t>
            </w:r>
            <w:r w:rsidRPr="00B56E55">
              <w:rPr>
                <w:rFonts w:ascii="標楷體" w:eastAsia="標楷體" w:hAnsi="標楷體" w:hint="eastAsia"/>
                <w:szCs w:val="24"/>
              </w:rPr>
              <w:t>月</w:t>
            </w:r>
            <w:r>
              <w:rPr>
                <w:rFonts w:ascii="標楷體" w:eastAsia="標楷體" w:hAnsi="標楷體" w:hint="eastAsia"/>
                <w:szCs w:val="24"/>
              </w:rPr>
              <w:t>2</w:t>
            </w:r>
            <w:r w:rsidRPr="00B56E55">
              <w:rPr>
                <w:rFonts w:ascii="標楷體" w:eastAsia="標楷體" w:hAnsi="標楷體" w:hint="eastAsia"/>
                <w:szCs w:val="24"/>
              </w:rPr>
              <w:t>日</w:t>
            </w:r>
            <w:r w:rsidRPr="009A2434">
              <w:rPr>
                <w:rFonts w:ascii="標楷體" w:eastAsia="標楷體" w:hAnsi="標楷體" w:hint="eastAsia"/>
                <w:szCs w:val="24"/>
              </w:rPr>
              <w:t>府授人給字第</w:t>
            </w:r>
            <w:r>
              <w:rPr>
                <w:rFonts w:ascii="標楷體" w:eastAsia="標楷體" w:hAnsi="標楷體" w:hint="eastAsia"/>
                <w:szCs w:val="24"/>
              </w:rPr>
              <w:t>1040198850</w:t>
            </w:r>
            <w:r w:rsidRPr="009A2434">
              <w:rPr>
                <w:rFonts w:ascii="標楷體" w:eastAsia="標楷體" w:hAnsi="標楷體" w:hint="eastAsia"/>
                <w:szCs w:val="24"/>
              </w:rPr>
              <w:t>號</w:t>
            </w:r>
            <w:r>
              <w:rPr>
                <w:rFonts w:ascii="標楷體" w:eastAsia="標楷體" w:hAnsi="標楷體" w:hint="eastAsia"/>
                <w:szCs w:val="24"/>
              </w:rPr>
              <w:t>函</w:t>
            </w:r>
          </w:p>
        </w:tc>
        <w:tc>
          <w:tcPr>
            <w:tcW w:w="297" w:type="pct"/>
            <w:shd w:val="clear" w:color="auto" w:fill="auto"/>
            <w:vAlign w:val="center"/>
          </w:tcPr>
          <w:p w:rsidR="0063502E" w:rsidRPr="00AF1AF7" w:rsidRDefault="0063502E" w:rsidP="004945CC">
            <w:pPr>
              <w:spacing w:line="340" w:lineRule="exact"/>
              <w:jc w:val="both"/>
              <w:rPr>
                <w:rFonts w:ascii="標楷體" w:eastAsia="標楷體" w:hAnsi="標楷體" w:cs="華康標楷體"/>
                <w:szCs w:val="24"/>
              </w:rPr>
            </w:pPr>
          </w:p>
        </w:tc>
      </w:tr>
      <w:tr w:rsidR="0063502E" w:rsidRPr="00AF1AF7" w:rsidTr="00446A64">
        <w:trPr>
          <w:trHeight w:val="4024"/>
        </w:trPr>
        <w:tc>
          <w:tcPr>
            <w:tcW w:w="833" w:type="pct"/>
            <w:shd w:val="clear" w:color="auto" w:fill="auto"/>
          </w:tcPr>
          <w:p w:rsidR="0063502E" w:rsidRDefault="0063502E" w:rsidP="004945CC">
            <w:pPr>
              <w:spacing w:line="340" w:lineRule="exact"/>
              <w:jc w:val="both"/>
              <w:rPr>
                <w:rFonts w:ascii="標楷體" w:eastAsia="標楷體" w:hAnsi="標楷體" w:hint="eastAsia"/>
                <w:color w:val="000000"/>
                <w:szCs w:val="24"/>
              </w:rPr>
            </w:pPr>
            <w:r>
              <w:rPr>
                <w:rFonts w:ascii="標楷體" w:eastAsia="標楷體" w:hAnsi="標楷體" w:hint="eastAsia"/>
                <w:color w:val="000000"/>
                <w:szCs w:val="24"/>
              </w:rPr>
              <w:lastRenderedPageBreak/>
              <w:t>有關</w:t>
            </w:r>
            <w:r w:rsidRPr="008B4FBC">
              <w:rPr>
                <w:rFonts w:ascii="標楷體" w:eastAsia="標楷體" w:hAnsi="標楷體" w:hint="eastAsia"/>
                <w:color w:val="000000"/>
                <w:szCs w:val="24"/>
              </w:rPr>
              <w:t>曾領取公教人員保險(以下簡稱公保)年資補償金之人員，再參加公保又領取養老給付時，得否分期繳回已領之公保補償金疑義</w:t>
            </w:r>
            <w:r w:rsidR="00446A64">
              <w:rPr>
                <w:rFonts w:ascii="標楷體" w:eastAsia="標楷體" w:hAnsi="標楷體" w:hint="eastAsia"/>
                <w:color w:val="000000"/>
                <w:szCs w:val="24"/>
              </w:rPr>
              <w:t>一案</w:t>
            </w:r>
          </w:p>
        </w:tc>
        <w:tc>
          <w:tcPr>
            <w:tcW w:w="1885" w:type="pct"/>
            <w:shd w:val="clear" w:color="auto" w:fill="auto"/>
          </w:tcPr>
          <w:p w:rsidR="0063502E" w:rsidRPr="00446A64" w:rsidRDefault="0063502E" w:rsidP="004945CC">
            <w:pPr>
              <w:spacing w:line="340" w:lineRule="exact"/>
              <w:ind w:left="480" w:hangingChars="200" w:hanging="480"/>
              <w:jc w:val="both"/>
              <w:rPr>
                <w:rFonts w:ascii="標楷體" w:eastAsia="標楷體" w:hAnsi="標楷體" w:hint="eastAsia"/>
                <w:szCs w:val="24"/>
              </w:rPr>
            </w:pPr>
            <w:r w:rsidRPr="00446A64">
              <w:rPr>
                <w:rFonts w:ascii="標楷體" w:eastAsia="標楷體" w:hAnsi="標楷體" w:hint="eastAsia"/>
                <w:szCs w:val="24"/>
              </w:rPr>
              <w:t xml:space="preserve">一、查有關公保年資補償金係各機關(構)因民營化、整併、改制(隸)、專案精簡等致所屬員工之公保權益受有損失時，用以補償員工保險權益之替代給付；又以該損失係因配合政府政策所致，爰補償金相關法令均明定該保險損失所需經費應由政府負擔補償；惟是類人員嗣後再參加公保並符合養老給付請領條件而請領給付時，以該段已領補償金之年資係屬依法得請領保險給付之年資而獲得重複保障，爰各該機關(構)相關法令明定已領年資補償金應予繳還。  </w:t>
            </w:r>
          </w:p>
          <w:p w:rsidR="0063502E" w:rsidRPr="00446A64" w:rsidRDefault="0063502E" w:rsidP="004945CC">
            <w:pPr>
              <w:spacing w:line="340" w:lineRule="exact"/>
              <w:ind w:left="480" w:hangingChars="200" w:hanging="480"/>
              <w:jc w:val="both"/>
              <w:rPr>
                <w:rFonts w:ascii="標楷體" w:eastAsia="標楷體" w:hAnsi="標楷體" w:hint="eastAsia"/>
                <w:szCs w:val="24"/>
              </w:rPr>
            </w:pPr>
            <w:r w:rsidRPr="00446A64">
              <w:rPr>
                <w:rFonts w:ascii="標楷體" w:eastAsia="標楷體" w:hAnsi="標楷體" w:hint="eastAsia"/>
                <w:szCs w:val="24"/>
              </w:rPr>
              <w:t>二、復查公保年金化前，是類人員請領一次養老給付且原補償金法令明定係由承保機關(構)代扣繳還公保補償金者，承保機關(構)必須自其得請領之一次養老給付中，一次全數代扣其原領取之補償金，繳還相關權責機關。至於年金</w:t>
            </w:r>
            <w:r w:rsidRPr="00446A64">
              <w:rPr>
                <w:rFonts w:ascii="標楷體" w:eastAsia="標楷體" w:hAnsi="標楷體" w:hint="eastAsia"/>
                <w:szCs w:val="24"/>
              </w:rPr>
              <w:lastRenderedPageBreak/>
              <w:t>化後，公教人員保險法第48條修正擴大年金制度適用對象時，為維持請領養老年金給付者與請領一次養老給付者間之權益衡平，該修正條文規定，被保險人曾領取公保年資補償金者，於申請養老年金給付前，須將依原領取補償金法令所定應繳回金額，一次全數繳回相關權責機關或交由承保機關繳還相關權責機關，始得依規定請領養老年金給付。</w:t>
            </w:r>
          </w:p>
          <w:p w:rsidR="0063502E" w:rsidRPr="00446A64" w:rsidRDefault="0063502E" w:rsidP="004945CC">
            <w:pPr>
              <w:spacing w:line="340" w:lineRule="exact"/>
              <w:ind w:left="480" w:hangingChars="200" w:hanging="480"/>
              <w:jc w:val="both"/>
              <w:rPr>
                <w:rFonts w:ascii="標楷體" w:eastAsia="標楷體" w:hAnsi="標楷體" w:hint="eastAsia"/>
                <w:szCs w:val="24"/>
              </w:rPr>
            </w:pPr>
            <w:r w:rsidRPr="00446A64">
              <w:rPr>
                <w:rFonts w:ascii="標楷體" w:eastAsia="標楷體" w:hAnsi="標楷體" w:hint="eastAsia"/>
                <w:szCs w:val="24"/>
              </w:rPr>
              <w:t>三、綜上，基於社會資源不重複配置及公平正義原則，並為避免部分人員未繳回原發補償金，卻得先行領取養老給付之不合理現象，以及被保險人遲不繳還補償金之投機行為，曾領取公保年資補償金者再參加公保且成就養老給付請領條件時，不論其係請領一次養老給付或養老年金給付，均應於繳回公保補償金後，始得領取該項給付；此外，為維持是類人員間請領權益之一致與衡平，該補償金必須一次全數繳回，不得要求分期繳還。</w:t>
            </w:r>
          </w:p>
        </w:tc>
        <w:tc>
          <w:tcPr>
            <w:tcW w:w="1043" w:type="pct"/>
            <w:shd w:val="clear" w:color="auto" w:fill="auto"/>
          </w:tcPr>
          <w:p w:rsidR="0063502E" w:rsidRDefault="0063502E" w:rsidP="004945CC">
            <w:pPr>
              <w:spacing w:line="340" w:lineRule="exact"/>
              <w:jc w:val="both"/>
              <w:rPr>
                <w:rFonts w:ascii="標楷體" w:eastAsia="標楷體" w:hAnsi="標楷體" w:hint="eastAsia"/>
                <w:szCs w:val="24"/>
              </w:rPr>
            </w:pPr>
            <w:r>
              <w:rPr>
                <w:rFonts w:ascii="標楷體" w:eastAsia="標楷體" w:hAnsi="標楷體" w:hint="eastAsia"/>
                <w:szCs w:val="24"/>
              </w:rPr>
              <w:lastRenderedPageBreak/>
              <w:t>銓敘部民國104年9月3日部退一字第1044006404號書函</w:t>
            </w:r>
          </w:p>
        </w:tc>
        <w:tc>
          <w:tcPr>
            <w:tcW w:w="942" w:type="pct"/>
            <w:shd w:val="clear" w:color="auto" w:fill="auto"/>
          </w:tcPr>
          <w:p w:rsidR="0063502E" w:rsidRPr="00A663E8" w:rsidRDefault="0063502E" w:rsidP="004945CC">
            <w:pPr>
              <w:spacing w:line="340" w:lineRule="exact"/>
              <w:jc w:val="both"/>
              <w:rPr>
                <w:rFonts w:ascii="標楷體" w:eastAsia="標楷體" w:hAnsi="標楷體" w:cs="華康標楷體" w:hint="eastAsia"/>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B56E55">
              <w:rPr>
                <w:rFonts w:ascii="標楷體" w:eastAsia="標楷體" w:hAnsi="標楷體" w:hint="eastAsia"/>
                <w:szCs w:val="24"/>
              </w:rPr>
              <w:t>民國104年</w:t>
            </w:r>
            <w:r>
              <w:rPr>
                <w:rFonts w:ascii="標楷體" w:eastAsia="標楷體" w:hAnsi="標楷體" w:hint="eastAsia"/>
                <w:szCs w:val="24"/>
              </w:rPr>
              <w:t>9</w:t>
            </w:r>
            <w:r w:rsidRPr="00B56E55">
              <w:rPr>
                <w:rFonts w:ascii="標楷體" w:eastAsia="標楷體" w:hAnsi="標楷體" w:hint="eastAsia"/>
                <w:szCs w:val="24"/>
              </w:rPr>
              <w:t>月</w:t>
            </w:r>
            <w:r>
              <w:rPr>
                <w:rFonts w:ascii="標楷體" w:eastAsia="標楷體" w:hAnsi="標楷體" w:hint="eastAsia"/>
                <w:szCs w:val="24"/>
              </w:rPr>
              <w:t>4</w:t>
            </w:r>
            <w:r w:rsidRPr="00B56E55">
              <w:rPr>
                <w:rFonts w:ascii="標楷體" w:eastAsia="標楷體" w:hAnsi="標楷體" w:hint="eastAsia"/>
                <w:szCs w:val="24"/>
              </w:rPr>
              <w:t>日</w:t>
            </w:r>
            <w:r w:rsidRPr="009A2434">
              <w:rPr>
                <w:rFonts w:ascii="標楷體" w:eastAsia="標楷體" w:hAnsi="標楷體" w:hint="eastAsia"/>
                <w:szCs w:val="24"/>
              </w:rPr>
              <w:t>府授人給字第</w:t>
            </w:r>
            <w:r>
              <w:rPr>
                <w:rFonts w:ascii="標楷體" w:eastAsia="標楷體" w:hAnsi="標楷體" w:hint="eastAsia"/>
                <w:szCs w:val="24"/>
              </w:rPr>
              <w:t>1040202168</w:t>
            </w:r>
            <w:r w:rsidRPr="009A2434">
              <w:rPr>
                <w:rFonts w:ascii="標楷體" w:eastAsia="標楷體" w:hAnsi="標楷體" w:hint="eastAsia"/>
                <w:szCs w:val="24"/>
              </w:rPr>
              <w:t>號</w:t>
            </w:r>
            <w:r>
              <w:rPr>
                <w:rFonts w:ascii="標楷體" w:eastAsia="標楷體" w:hAnsi="標楷體" w:hint="eastAsia"/>
                <w:szCs w:val="24"/>
              </w:rPr>
              <w:t>函</w:t>
            </w:r>
          </w:p>
        </w:tc>
        <w:tc>
          <w:tcPr>
            <w:tcW w:w="297" w:type="pct"/>
            <w:shd w:val="clear" w:color="auto" w:fill="auto"/>
            <w:vAlign w:val="center"/>
          </w:tcPr>
          <w:p w:rsidR="0063502E" w:rsidRPr="00AF1AF7" w:rsidRDefault="0063502E" w:rsidP="004945CC">
            <w:pPr>
              <w:spacing w:line="340" w:lineRule="exact"/>
              <w:jc w:val="both"/>
              <w:rPr>
                <w:rFonts w:ascii="標楷體" w:eastAsia="標楷體" w:hAnsi="標楷體" w:cs="華康標楷體"/>
                <w:szCs w:val="24"/>
              </w:rPr>
            </w:pPr>
          </w:p>
        </w:tc>
      </w:tr>
      <w:tr w:rsidR="0063502E" w:rsidRPr="00AF1AF7" w:rsidTr="004945CC">
        <w:trPr>
          <w:trHeight w:val="2323"/>
        </w:trPr>
        <w:tc>
          <w:tcPr>
            <w:tcW w:w="833" w:type="pct"/>
            <w:shd w:val="clear" w:color="auto" w:fill="auto"/>
          </w:tcPr>
          <w:p w:rsidR="0063502E" w:rsidRDefault="0063502E" w:rsidP="004945CC">
            <w:pPr>
              <w:spacing w:line="340" w:lineRule="exact"/>
              <w:jc w:val="both"/>
              <w:rPr>
                <w:rFonts w:ascii="標楷體" w:eastAsia="標楷體" w:hAnsi="標楷體" w:hint="eastAsia"/>
                <w:color w:val="000000"/>
                <w:szCs w:val="24"/>
              </w:rPr>
            </w:pPr>
            <w:r>
              <w:rPr>
                <w:rFonts w:ascii="標楷體" w:eastAsia="標楷體" w:hAnsi="標楷體" w:hint="eastAsia"/>
                <w:color w:val="000000"/>
                <w:szCs w:val="24"/>
              </w:rPr>
              <w:lastRenderedPageBreak/>
              <w:t>公務人員繳付退撫基金5年以上者，若有違法、失職行為，申請發還退撫基金費用，得否併同發給政府繳付之退撫</w:t>
            </w:r>
            <w:r w:rsidR="00446A64">
              <w:rPr>
                <w:rFonts w:ascii="標楷體" w:eastAsia="標楷體" w:hAnsi="標楷體" w:hint="eastAsia"/>
                <w:color w:val="000000"/>
                <w:szCs w:val="24"/>
              </w:rPr>
              <w:t>基金費用本息</w:t>
            </w:r>
          </w:p>
        </w:tc>
        <w:tc>
          <w:tcPr>
            <w:tcW w:w="1885" w:type="pct"/>
            <w:shd w:val="clear" w:color="auto" w:fill="auto"/>
          </w:tcPr>
          <w:p w:rsidR="0063502E" w:rsidRPr="00446A64" w:rsidRDefault="0063502E" w:rsidP="004945CC">
            <w:pPr>
              <w:spacing w:line="340" w:lineRule="exact"/>
              <w:ind w:firstLineChars="200" w:firstLine="480"/>
              <w:jc w:val="both"/>
              <w:rPr>
                <w:rFonts w:ascii="標楷體" w:eastAsia="標楷體" w:hAnsi="標楷體" w:hint="eastAsia"/>
                <w:szCs w:val="24"/>
              </w:rPr>
            </w:pPr>
            <w:r w:rsidRPr="00446A64">
              <w:rPr>
                <w:rFonts w:ascii="標楷體" w:eastAsia="標楷體" w:hAnsi="標楷體" w:hint="eastAsia"/>
                <w:szCs w:val="24"/>
              </w:rPr>
              <w:t>公務人員繳付退撫基金5年以上者，若有違法、失職行為而於權責機關依法追究其行政責任確定前先行離職，嗣後其涉案情節確定且達相關法律所定應予免職或撤職條件而其權責機關無法予以依法免職或撤職時，其申請發還退撫基金費用，不得併同發給政府繳付之退撫基金費用本息。</w:t>
            </w:r>
          </w:p>
        </w:tc>
        <w:tc>
          <w:tcPr>
            <w:tcW w:w="1043" w:type="pct"/>
            <w:shd w:val="clear" w:color="auto" w:fill="auto"/>
          </w:tcPr>
          <w:p w:rsidR="0063502E" w:rsidRDefault="0063502E" w:rsidP="004945CC">
            <w:pPr>
              <w:spacing w:line="340" w:lineRule="exact"/>
              <w:jc w:val="both"/>
              <w:rPr>
                <w:rFonts w:ascii="標楷體" w:eastAsia="標楷體" w:hAnsi="標楷體" w:hint="eastAsia"/>
                <w:szCs w:val="24"/>
              </w:rPr>
            </w:pPr>
            <w:r>
              <w:rPr>
                <w:rFonts w:ascii="標楷體" w:eastAsia="標楷體" w:hAnsi="標楷體" w:hint="eastAsia"/>
                <w:szCs w:val="24"/>
              </w:rPr>
              <w:t>銓敘部民國104年9月15日部退三字第10440180471號令</w:t>
            </w:r>
          </w:p>
        </w:tc>
        <w:tc>
          <w:tcPr>
            <w:tcW w:w="942" w:type="pct"/>
            <w:shd w:val="clear" w:color="auto" w:fill="auto"/>
          </w:tcPr>
          <w:p w:rsidR="0063502E" w:rsidRPr="00A663E8" w:rsidRDefault="0063502E" w:rsidP="004945CC">
            <w:pPr>
              <w:spacing w:line="340" w:lineRule="exact"/>
              <w:jc w:val="both"/>
              <w:rPr>
                <w:rFonts w:ascii="標楷體" w:eastAsia="標楷體" w:hAnsi="標楷體" w:cs="華康標楷體" w:hint="eastAsia"/>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B56E55">
              <w:rPr>
                <w:rFonts w:ascii="標楷體" w:eastAsia="標楷體" w:hAnsi="標楷體" w:hint="eastAsia"/>
                <w:szCs w:val="24"/>
              </w:rPr>
              <w:t>民國104年</w:t>
            </w:r>
            <w:r>
              <w:rPr>
                <w:rFonts w:ascii="標楷體" w:eastAsia="標楷體" w:hAnsi="標楷體" w:hint="eastAsia"/>
                <w:szCs w:val="24"/>
              </w:rPr>
              <w:t>9</w:t>
            </w:r>
            <w:r w:rsidRPr="00B56E55">
              <w:rPr>
                <w:rFonts w:ascii="標楷體" w:eastAsia="標楷體" w:hAnsi="標楷體" w:hint="eastAsia"/>
                <w:szCs w:val="24"/>
              </w:rPr>
              <w:t>月</w:t>
            </w:r>
            <w:r>
              <w:rPr>
                <w:rFonts w:ascii="標楷體" w:eastAsia="標楷體" w:hAnsi="標楷體" w:hint="eastAsia"/>
                <w:szCs w:val="24"/>
              </w:rPr>
              <w:t>17</w:t>
            </w:r>
            <w:r w:rsidRPr="00B56E55">
              <w:rPr>
                <w:rFonts w:ascii="標楷體" w:eastAsia="標楷體" w:hAnsi="標楷體" w:hint="eastAsia"/>
                <w:szCs w:val="24"/>
              </w:rPr>
              <w:t>日</w:t>
            </w:r>
            <w:r w:rsidRPr="009A2434">
              <w:rPr>
                <w:rFonts w:ascii="標楷體" w:eastAsia="標楷體" w:hAnsi="標楷體" w:hint="eastAsia"/>
                <w:szCs w:val="24"/>
              </w:rPr>
              <w:t>府授人給字第</w:t>
            </w:r>
            <w:r>
              <w:rPr>
                <w:rFonts w:ascii="標楷體" w:eastAsia="標楷體" w:hAnsi="標楷體" w:hint="eastAsia"/>
                <w:szCs w:val="24"/>
              </w:rPr>
              <w:t>1040212522</w:t>
            </w:r>
            <w:r w:rsidRPr="009A2434">
              <w:rPr>
                <w:rFonts w:ascii="標楷體" w:eastAsia="標楷體" w:hAnsi="標楷體" w:hint="eastAsia"/>
                <w:szCs w:val="24"/>
              </w:rPr>
              <w:t>號</w:t>
            </w:r>
            <w:r>
              <w:rPr>
                <w:rFonts w:ascii="標楷體" w:eastAsia="標楷體" w:hAnsi="標楷體" w:hint="eastAsia"/>
                <w:szCs w:val="24"/>
              </w:rPr>
              <w:t>函</w:t>
            </w:r>
          </w:p>
        </w:tc>
        <w:tc>
          <w:tcPr>
            <w:tcW w:w="297" w:type="pct"/>
            <w:shd w:val="clear" w:color="auto" w:fill="auto"/>
            <w:vAlign w:val="center"/>
          </w:tcPr>
          <w:p w:rsidR="0063502E" w:rsidRPr="00AF1AF7" w:rsidRDefault="0063502E" w:rsidP="004945CC">
            <w:pPr>
              <w:spacing w:line="340" w:lineRule="exact"/>
              <w:jc w:val="both"/>
              <w:rPr>
                <w:rFonts w:ascii="標楷體" w:eastAsia="標楷體" w:hAnsi="標楷體" w:cs="華康標楷體"/>
                <w:szCs w:val="24"/>
              </w:rPr>
            </w:pPr>
          </w:p>
        </w:tc>
      </w:tr>
      <w:tr w:rsidR="0097653F" w:rsidRPr="00AF1AF7" w:rsidTr="004945CC">
        <w:trPr>
          <w:trHeight w:val="1047"/>
        </w:trPr>
        <w:tc>
          <w:tcPr>
            <w:tcW w:w="833" w:type="pct"/>
            <w:shd w:val="clear" w:color="auto" w:fill="auto"/>
          </w:tcPr>
          <w:p w:rsidR="0097653F" w:rsidRDefault="0097653F" w:rsidP="004945CC">
            <w:pPr>
              <w:spacing w:line="340" w:lineRule="exact"/>
              <w:rPr>
                <w:rFonts w:ascii="標楷體" w:eastAsia="標楷體" w:hAnsi="標楷體" w:hint="eastAsia"/>
                <w:color w:val="000000"/>
                <w:szCs w:val="24"/>
              </w:rPr>
            </w:pPr>
            <w:r>
              <w:rPr>
                <w:rFonts w:ascii="標楷體" w:eastAsia="標楷體" w:hAnsi="標楷體" w:hint="eastAsia"/>
                <w:color w:val="000000"/>
                <w:szCs w:val="24"/>
              </w:rPr>
              <w:lastRenderedPageBreak/>
              <w:t>有關</w:t>
            </w:r>
            <w:r w:rsidRPr="0094770C">
              <w:rPr>
                <w:rFonts w:ascii="標楷體" w:eastAsia="標楷體" w:hAnsi="標楷體" w:hint="eastAsia"/>
                <w:color w:val="000000"/>
                <w:szCs w:val="24"/>
              </w:rPr>
              <w:t>亡故公教人員保險被保險人之遺屬如喪失或拋棄領受權時，其他受益人之領受順序、比例及種類，以及請領展期養老年金給付之被保險人於領受給與之前死亡時，其遺屬年金應自何時發給等相關疑義一案</w:t>
            </w:r>
          </w:p>
        </w:tc>
        <w:tc>
          <w:tcPr>
            <w:tcW w:w="1885" w:type="pct"/>
            <w:shd w:val="clear" w:color="auto" w:fill="auto"/>
          </w:tcPr>
          <w:p w:rsidR="0097653F" w:rsidRPr="00C96993" w:rsidRDefault="0097653F" w:rsidP="004945CC">
            <w:pPr>
              <w:spacing w:line="340" w:lineRule="exact"/>
              <w:ind w:left="480" w:hangingChars="200" w:hanging="480"/>
              <w:jc w:val="both"/>
              <w:rPr>
                <w:rFonts w:ascii="標楷體" w:eastAsia="標楷體" w:hAnsi="標楷體" w:hint="eastAsia"/>
                <w:szCs w:val="24"/>
              </w:rPr>
            </w:pPr>
            <w:r w:rsidRPr="00C96993">
              <w:rPr>
                <w:rFonts w:ascii="標楷體" w:eastAsia="標楷體" w:hAnsi="標楷體" w:hint="eastAsia"/>
                <w:szCs w:val="24"/>
              </w:rPr>
              <w:t xml:space="preserve">一、有關亡故被保險人之遺屬依公教人員保險法(以下簡稱公保法)第22條第4項及第7項、第25條第2項或第28條規定請領給付時，受益人之領受順序、比例及種類等相關處理原則，歸納說明如下：  </w:t>
            </w:r>
          </w:p>
          <w:p w:rsidR="0097653F" w:rsidRPr="00C96993" w:rsidRDefault="0097653F" w:rsidP="004945CC">
            <w:pPr>
              <w:spacing w:line="340" w:lineRule="exact"/>
              <w:ind w:leftChars="100" w:left="720" w:hangingChars="200" w:hanging="480"/>
              <w:jc w:val="both"/>
              <w:rPr>
                <w:rFonts w:ascii="標楷體" w:eastAsia="標楷體" w:hAnsi="標楷體" w:hint="eastAsia"/>
                <w:szCs w:val="24"/>
              </w:rPr>
            </w:pPr>
            <w:r w:rsidRPr="00C96993">
              <w:rPr>
                <w:rFonts w:ascii="標楷體" w:eastAsia="標楷體" w:hAnsi="標楷體" w:hint="eastAsia"/>
                <w:szCs w:val="24"/>
              </w:rPr>
              <w:t xml:space="preserve">(一)亡故被保險人之未再婚配偶領受1/2給付，其餘1/2給付依序由公保法第28條第1項第1款至第3款所定順序之受益人領受；無配偶，或其配偶喪失或拋棄領受權時，該項給付由第1項各款所定受益人，依序領受。同一順序受益人有數人時，應共同平均領受；如有喪失或拋棄領受權者，則由同一順序其他受益人平均領受；同一順序無受益人或受益人均喪失或拋棄領受權時，由次一順序受益人領受。但第1項第1款所定第一順序之受益人喪失或拋棄領受權者，由其子女代位領受之。此外，以該項給付係屬公法給付，性質與遺產有別，爰基於遺屬照護之公益考量，受益人如係拋棄其領受權者，不得指定讓與其領受權。  </w:t>
            </w:r>
          </w:p>
          <w:p w:rsidR="0097653F" w:rsidRPr="00C96993" w:rsidRDefault="0097653F" w:rsidP="004945CC">
            <w:pPr>
              <w:spacing w:line="340" w:lineRule="exact"/>
              <w:ind w:leftChars="100" w:left="720" w:hangingChars="200" w:hanging="480"/>
              <w:jc w:val="both"/>
              <w:rPr>
                <w:rFonts w:ascii="標楷體" w:eastAsia="標楷體" w:hAnsi="標楷體" w:hint="eastAsia"/>
                <w:szCs w:val="24"/>
              </w:rPr>
            </w:pPr>
            <w:r w:rsidRPr="00C96993">
              <w:rPr>
                <w:rFonts w:ascii="標楷體" w:eastAsia="標楷體" w:hAnsi="標楷體" w:hint="eastAsia"/>
                <w:szCs w:val="24"/>
              </w:rPr>
              <w:t>(二)由於公保法已明定配偶受1/2領受比例之保障，爰不與公保法第28條第1項第1款至第3款所定受益人同列領受順序。惟亡故被保險人如無第1項第1款至第3款受益人或該3款受益人均喪失或拋棄領受權(含無</w:t>
            </w:r>
            <w:r w:rsidRPr="00C96993">
              <w:rPr>
                <w:rFonts w:ascii="標楷體" w:eastAsia="標楷體" w:hAnsi="標楷體" w:hint="eastAsia"/>
                <w:szCs w:val="24"/>
              </w:rPr>
              <w:lastRenderedPageBreak/>
              <w:t xml:space="preserve">同條項第1款至第3款受益人，亦無同條第5項但書所定領受者〈均喪失或拋棄領受權亦同〉，以及無同條項各款受益人，亦無同條第5項但書所定領受者〈均喪失或拋棄領受權亦同〉之情形)時，配偶得單獨全額領受。  </w:t>
            </w:r>
          </w:p>
          <w:p w:rsidR="0097653F" w:rsidRPr="00C96993" w:rsidRDefault="0097653F" w:rsidP="004945CC">
            <w:pPr>
              <w:spacing w:line="340" w:lineRule="exact"/>
              <w:ind w:leftChars="100" w:left="720" w:hangingChars="200" w:hanging="480"/>
              <w:jc w:val="both"/>
              <w:rPr>
                <w:rFonts w:ascii="標楷體" w:eastAsia="標楷體" w:hAnsi="標楷體" w:hint="eastAsia"/>
                <w:szCs w:val="24"/>
              </w:rPr>
            </w:pPr>
            <w:r w:rsidRPr="00C96993">
              <w:rPr>
                <w:rFonts w:ascii="標楷體" w:eastAsia="標楷體" w:hAnsi="標楷體" w:hint="eastAsia"/>
                <w:szCs w:val="24"/>
              </w:rPr>
              <w:t xml:space="preserve">(三)取得領受權之受益人如係亡故被保險人之配偶、子女、父母或孫子女，其得否擇領遺屬年金，應視其是否符合公保法第28條第3項所定條件；符合者，得就其取得之領受比例，選擇改領遺屬年金。至於擇領遺屬年金之受益人於領受遺屬年金後，如發生喪失領受權情事，則該領受權即告終止，不再由其他受益人接續取得。  </w:t>
            </w:r>
          </w:p>
          <w:p w:rsidR="0097653F" w:rsidRPr="007465B1" w:rsidRDefault="0097653F" w:rsidP="004945CC">
            <w:pPr>
              <w:spacing w:line="340" w:lineRule="exact"/>
              <w:ind w:left="480" w:hangingChars="200" w:hanging="480"/>
              <w:jc w:val="both"/>
              <w:rPr>
                <w:rFonts w:ascii="標楷體" w:eastAsia="標楷體" w:hAnsi="標楷體" w:hint="eastAsia"/>
                <w:sz w:val="18"/>
                <w:szCs w:val="18"/>
              </w:rPr>
            </w:pPr>
            <w:r w:rsidRPr="00C96993">
              <w:rPr>
                <w:rFonts w:ascii="標楷體" w:eastAsia="標楷體" w:hAnsi="標楷體" w:hint="eastAsia"/>
                <w:szCs w:val="24"/>
              </w:rPr>
              <w:t>二、有關請領展期養老年金給付之被保險人，於領受給與之前死亡時，其遺屬年金應自何時發給一節，查公保法第29條第1項規定，遺屬年金給付應自符合請領條件之日起，按月發給，至受益人死亡當月止。據此，為保障領受遺屬年金受益人之權益，其遺屬年金應自被保險人死亡之日起發給；惟未達公保法第28條第3項所定起支年齡者，應自達起支年齡之日起發給。</w:t>
            </w:r>
            <w:r w:rsidRPr="0094770C">
              <w:rPr>
                <w:rFonts w:ascii="標楷體" w:eastAsia="標楷體" w:hAnsi="標楷體" w:hint="eastAsia"/>
                <w:sz w:val="18"/>
                <w:szCs w:val="18"/>
              </w:rPr>
              <w:t xml:space="preserve">  </w:t>
            </w:r>
          </w:p>
        </w:tc>
        <w:tc>
          <w:tcPr>
            <w:tcW w:w="1043" w:type="pct"/>
            <w:shd w:val="clear" w:color="auto" w:fill="auto"/>
          </w:tcPr>
          <w:p w:rsidR="0097653F" w:rsidRDefault="0097653F" w:rsidP="004945CC">
            <w:pPr>
              <w:spacing w:line="340" w:lineRule="exact"/>
              <w:rPr>
                <w:rFonts w:ascii="標楷體" w:eastAsia="標楷體" w:hAnsi="標楷體" w:hint="eastAsia"/>
                <w:szCs w:val="24"/>
              </w:rPr>
            </w:pPr>
            <w:r>
              <w:rPr>
                <w:rFonts w:ascii="標楷體" w:eastAsia="標楷體" w:hAnsi="標楷體" w:hint="eastAsia"/>
                <w:szCs w:val="24"/>
              </w:rPr>
              <w:lastRenderedPageBreak/>
              <w:t>銓敘部民國104年9月23日部退一字第1044021079號書函</w:t>
            </w:r>
          </w:p>
        </w:tc>
        <w:tc>
          <w:tcPr>
            <w:tcW w:w="942" w:type="pct"/>
            <w:shd w:val="clear" w:color="auto" w:fill="auto"/>
          </w:tcPr>
          <w:p w:rsidR="0097653F" w:rsidRPr="00F26F7F" w:rsidRDefault="0097653F" w:rsidP="004945CC">
            <w:pPr>
              <w:spacing w:line="340" w:lineRule="exact"/>
              <w:rPr>
                <w:rFonts w:ascii="標楷體" w:eastAsia="標楷體" w:hAnsi="標楷體" w:cs="華康標楷體" w:hint="eastAsia"/>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B56E55">
              <w:rPr>
                <w:rFonts w:ascii="標楷體" w:eastAsia="標楷體" w:hAnsi="標楷體" w:hint="eastAsia"/>
                <w:szCs w:val="24"/>
              </w:rPr>
              <w:t>民國104年</w:t>
            </w:r>
            <w:r>
              <w:rPr>
                <w:rFonts w:ascii="標楷體" w:eastAsia="標楷體" w:hAnsi="標楷體" w:hint="eastAsia"/>
                <w:szCs w:val="24"/>
              </w:rPr>
              <w:t>9</w:t>
            </w:r>
            <w:r w:rsidRPr="00B56E55">
              <w:rPr>
                <w:rFonts w:ascii="標楷體" w:eastAsia="標楷體" w:hAnsi="標楷體" w:hint="eastAsia"/>
                <w:szCs w:val="24"/>
              </w:rPr>
              <w:t>月</w:t>
            </w:r>
            <w:r>
              <w:rPr>
                <w:rFonts w:ascii="標楷體" w:eastAsia="標楷體" w:hAnsi="標楷體" w:hint="eastAsia"/>
                <w:szCs w:val="24"/>
              </w:rPr>
              <w:t>25</w:t>
            </w:r>
            <w:r w:rsidRPr="00B56E55">
              <w:rPr>
                <w:rFonts w:ascii="標楷體" w:eastAsia="標楷體" w:hAnsi="標楷體" w:hint="eastAsia"/>
                <w:szCs w:val="24"/>
              </w:rPr>
              <w:t>日</w:t>
            </w:r>
            <w:r w:rsidRPr="009A2434">
              <w:rPr>
                <w:rFonts w:ascii="標楷體" w:eastAsia="標楷體" w:hAnsi="標楷體" w:hint="eastAsia"/>
                <w:szCs w:val="24"/>
              </w:rPr>
              <w:t>府授人給字第</w:t>
            </w:r>
            <w:r>
              <w:rPr>
                <w:rFonts w:ascii="標楷體" w:eastAsia="標楷體" w:hAnsi="標楷體" w:hint="eastAsia"/>
                <w:szCs w:val="24"/>
              </w:rPr>
              <w:t>1040219065</w:t>
            </w:r>
            <w:r w:rsidRPr="009A2434">
              <w:rPr>
                <w:rFonts w:ascii="標楷體" w:eastAsia="標楷體" w:hAnsi="標楷體" w:hint="eastAsia"/>
                <w:szCs w:val="24"/>
              </w:rPr>
              <w:t>號</w:t>
            </w:r>
            <w:r>
              <w:rPr>
                <w:rFonts w:ascii="標楷體" w:eastAsia="標楷體" w:hAnsi="標楷體" w:hint="eastAsia"/>
                <w:szCs w:val="24"/>
              </w:rPr>
              <w:t>函</w:t>
            </w:r>
          </w:p>
        </w:tc>
        <w:tc>
          <w:tcPr>
            <w:tcW w:w="297" w:type="pct"/>
            <w:shd w:val="clear" w:color="auto" w:fill="auto"/>
            <w:vAlign w:val="center"/>
          </w:tcPr>
          <w:p w:rsidR="0097653F" w:rsidRPr="00AF1AF7" w:rsidRDefault="0097653F" w:rsidP="004945CC">
            <w:pPr>
              <w:spacing w:line="340" w:lineRule="exact"/>
              <w:jc w:val="both"/>
              <w:rPr>
                <w:rFonts w:ascii="標楷體" w:eastAsia="標楷體" w:hAnsi="標楷體" w:cs="華康標楷體"/>
                <w:szCs w:val="24"/>
              </w:rPr>
            </w:pPr>
          </w:p>
        </w:tc>
      </w:tr>
    </w:tbl>
    <w:p w:rsidR="00263C0A" w:rsidRPr="00AF1AF7" w:rsidRDefault="00263C0A" w:rsidP="004945CC">
      <w:pPr>
        <w:spacing w:line="340" w:lineRule="exact"/>
        <w:jc w:val="both"/>
        <w:rPr>
          <w:rFonts w:ascii="標楷體" w:eastAsia="標楷體" w:hAnsi="標楷體"/>
          <w:sz w:val="32"/>
          <w:szCs w:val="32"/>
        </w:rPr>
      </w:pPr>
    </w:p>
    <w:sectPr w:rsidR="00263C0A" w:rsidRPr="00AF1AF7" w:rsidSect="004945CC">
      <w:footerReference w:type="default" r:id="rId9"/>
      <w:pgSz w:w="16838" w:h="11906" w:orient="landscape"/>
      <w:pgMar w:top="1134" w:right="1440" w:bottom="107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C6" w:rsidRDefault="00805CC6" w:rsidP="001D5F40">
      <w:r>
        <w:separator/>
      </w:r>
    </w:p>
  </w:endnote>
  <w:endnote w:type="continuationSeparator" w:id="0">
    <w:p w:rsidR="00805CC6" w:rsidRDefault="00805CC6"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標楷體">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87468"/>
      <w:docPartObj>
        <w:docPartGallery w:val="Page Numbers (Bottom of Page)"/>
        <w:docPartUnique/>
      </w:docPartObj>
    </w:sdtPr>
    <w:sdtEndPr/>
    <w:sdtContent>
      <w:p w:rsidR="009E5D4F" w:rsidRDefault="009E5D4F">
        <w:pPr>
          <w:pStyle w:val="a6"/>
          <w:jc w:val="center"/>
        </w:pPr>
        <w:r>
          <w:fldChar w:fldCharType="begin"/>
        </w:r>
        <w:r>
          <w:instrText>PAGE   \* MERGEFORMAT</w:instrText>
        </w:r>
        <w:r>
          <w:fldChar w:fldCharType="separate"/>
        </w:r>
        <w:r w:rsidR="004945CC" w:rsidRPr="004945CC">
          <w:rPr>
            <w:noProof/>
            <w:lang w:val="zh-TW" w:eastAsia="zh-TW"/>
          </w:rPr>
          <w:t>3</w:t>
        </w:r>
        <w:r>
          <w:fldChar w:fldCharType="end"/>
        </w:r>
      </w:p>
    </w:sdtContent>
  </w:sdt>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C6" w:rsidRDefault="00805CC6" w:rsidP="001D5F40">
      <w:r>
        <w:separator/>
      </w:r>
    </w:p>
  </w:footnote>
  <w:footnote w:type="continuationSeparator" w:id="0">
    <w:p w:rsidR="00805CC6" w:rsidRDefault="00805CC6"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43E4"/>
    <w:rsid w:val="00025854"/>
    <w:rsid w:val="00025A58"/>
    <w:rsid w:val="000263C2"/>
    <w:rsid w:val="0002674D"/>
    <w:rsid w:val="0002788E"/>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C0AB2"/>
    <w:rsid w:val="000C1C7F"/>
    <w:rsid w:val="000D1BA9"/>
    <w:rsid w:val="000D3665"/>
    <w:rsid w:val="000E43CF"/>
    <w:rsid w:val="000E74C6"/>
    <w:rsid w:val="001137A1"/>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90311"/>
    <w:rsid w:val="0019320E"/>
    <w:rsid w:val="001C3E8C"/>
    <w:rsid w:val="001C5DBB"/>
    <w:rsid w:val="001C6239"/>
    <w:rsid w:val="001D008D"/>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25"/>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06B"/>
    <w:rsid w:val="00362E5D"/>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46A64"/>
    <w:rsid w:val="0045220F"/>
    <w:rsid w:val="00452C49"/>
    <w:rsid w:val="004572A3"/>
    <w:rsid w:val="00461A88"/>
    <w:rsid w:val="00466C1E"/>
    <w:rsid w:val="00467CDB"/>
    <w:rsid w:val="00477FF2"/>
    <w:rsid w:val="00486BEB"/>
    <w:rsid w:val="004945CC"/>
    <w:rsid w:val="00494905"/>
    <w:rsid w:val="00495576"/>
    <w:rsid w:val="0049581C"/>
    <w:rsid w:val="004A05A8"/>
    <w:rsid w:val="004A1114"/>
    <w:rsid w:val="004A1A5F"/>
    <w:rsid w:val="004A5B79"/>
    <w:rsid w:val="004A6B23"/>
    <w:rsid w:val="004D0A90"/>
    <w:rsid w:val="004E234B"/>
    <w:rsid w:val="004E284E"/>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83D9F"/>
    <w:rsid w:val="00583DC1"/>
    <w:rsid w:val="005871A9"/>
    <w:rsid w:val="005A75BA"/>
    <w:rsid w:val="005B35A4"/>
    <w:rsid w:val="005B3C22"/>
    <w:rsid w:val="005B430D"/>
    <w:rsid w:val="005B57DA"/>
    <w:rsid w:val="005C272D"/>
    <w:rsid w:val="005D7DFB"/>
    <w:rsid w:val="005E4524"/>
    <w:rsid w:val="005F28F3"/>
    <w:rsid w:val="005F4C3B"/>
    <w:rsid w:val="00603CE7"/>
    <w:rsid w:val="006059BE"/>
    <w:rsid w:val="006139D5"/>
    <w:rsid w:val="00616B8B"/>
    <w:rsid w:val="00621AB1"/>
    <w:rsid w:val="0062475B"/>
    <w:rsid w:val="00625BB5"/>
    <w:rsid w:val="00631108"/>
    <w:rsid w:val="006343CA"/>
    <w:rsid w:val="0063502E"/>
    <w:rsid w:val="00640868"/>
    <w:rsid w:val="006446CE"/>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3484"/>
    <w:rsid w:val="00766B05"/>
    <w:rsid w:val="00781E9B"/>
    <w:rsid w:val="00786AE9"/>
    <w:rsid w:val="00790A3E"/>
    <w:rsid w:val="00794697"/>
    <w:rsid w:val="00797038"/>
    <w:rsid w:val="007B5D98"/>
    <w:rsid w:val="007C2CD6"/>
    <w:rsid w:val="007C6F45"/>
    <w:rsid w:val="007D3405"/>
    <w:rsid w:val="007D3911"/>
    <w:rsid w:val="007E045B"/>
    <w:rsid w:val="007E320F"/>
    <w:rsid w:val="007E5A62"/>
    <w:rsid w:val="007E5AAC"/>
    <w:rsid w:val="007E6B42"/>
    <w:rsid w:val="007E6E26"/>
    <w:rsid w:val="007F09A8"/>
    <w:rsid w:val="00800620"/>
    <w:rsid w:val="00801FDE"/>
    <w:rsid w:val="00803A66"/>
    <w:rsid w:val="00805CC6"/>
    <w:rsid w:val="00811B71"/>
    <w:rsid w:val="00812EB3"/>
    <w:rsid w:val="008145F8"/>
    <w:rsid w:val="008177E4"/>
    <w:rsid w:val="00821779"/>
    <w:rsid w:val="00824A6D"/>
    <w:rsid w:val="00831793"/>
    <w:rsid w:val="00834E4F"/>
    <w:rsid w:val="00837B5A"/>
    <w:rsid w:val="00845D1D"/>
    <w:rsid w:val="00847730"/>
    <w:rsid w:val="00851795"/>
    <w:rsid w:val="0086168C"/>
    <w:rsid w:val="008631B5"/>
    <w:rsid w:val="00864688"/>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66F93"/>
    <w:rsid w:val="00970AF3"/>
    <w:rsid w:val="0097653F"/>
    <w:rsid w:val="009843F7"/>
    <w:rsid w:val="009848ED"/>
    <w:rsid w:val="00992D70"/>
    <w:rsid w:val="0099700E"/>
    <w:rsid w:val="009A2C76"/>
    <w:rsid w:val="009A52F8"/>
    <w:rsid w:val="009A5ABB"/>
    <w:rsid w:val="009B439C"/>
    <w:rsid w:val="009B4E27"/>
    <w:rsid w:val="009B4F15"/>
    <w:rsid w:val="009B5474"/>
    <w:rsid w:val="009C01C9"/>
    <w:rsid w:val="009C38D5"/>
    <w:rsid w:val="009C438E"/>
    <w:rsid w:val="009D31B6"/>
    <w:rsid w:val="009E5D4F"/>
    <w:rsid w:val="009F11ED"/>
    <w:rsid w:val="009F449D"/>
    <w:rsid w:val="00A14592"/>
    <w:rsid w:val="00A14C2D"/>
    <w:rsid w:val="00A16ACF"/>
    <w:rsid w:val="00A27E97"/>
    <w:rsid w:val="00A302F1"/>
    <w:rsid w:val="00A337DE"/>
    <w:rsid w:val="00A33AD4"/>
    <w:rsid w:val="00A4155C"/>
    <w:rsid w:val="00A47999"/>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F13FA"/>
    <w:rsid w:val="00AF1AF7"/>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5FE5"/>
    <w:rsid w:val="00D3642B"/>
    <w:rsid w:val="00D375C7"/>
    <w:rsid w:val="00D41763"/>
    <w:rsid w:val="00D42E36"/>
    <w:rsid w:val="00D44898"/>
    <w:rsid w:val="00D51EFA"/>
    <w:rsid w:val="00D630AA"/>
    <w:rsid w:val="00D65DE2"/>
    <w:rsid w:val="00D667C3"/>
    <w:rsid w:val="00D82F2E"/>
    <w:rsid w:val="00D92DD2"/>
    <w:rsid w:val="00D94152"/>
    <w:rsid w:val="00D9436C"/>
    <w:rsid w:val="00DA1FA5"/>
    <w:rsid w:val="00DA46C0"/>
    <w:rsid w:val="00DC3671"/>
    <w:rsid w:val="00DC4318"/>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146E"/>
    <w:rsid w:val="00F243D8"/>
    <w:rsid w:val="00F2704E"/>
    <w:rsid w:val="00F326F3"/>
    <w:rsid w:val="00F32775"/>
    <w:rsid w:val="00F36242"/>
    <w:rsid w:val="00F41ED4"/>
    <w:rsid w:val="00F44944"/>
    <w:rsid w:val="00F46015"/>
    <w:rsid w:val="00F579B2"/>
    <w:rsid w:val="00F6181F"/>
    <w:rsid w:val="00F643C2"/>
    <w:rsid w:val="00F763D8"/>
    <w:rsid w:val="00F7780D"/>
    <w:rsid w:val="00F81B3E"/>
    <w:rsid w:val="00F82377"/>
    <w:rsid w:val="00F84DF0"/>
    <w:rsid w:val="00F84F78"/>
    <w:rsid w:val="00F85516"/>
    <w:rsid w:val="00F863E2"/>
    <w:rsid w:val="00F86862"/>
    <w:rsid w:val="00F935AD"/>
    <w:rsid w:val="00F94D55"/>
    <w:rsid w:val="00F95BF6"/>
    <w:rsid w:val="00F960A8"/>
    <w:rsid w:val="00FA1230"/>
    <w:rsid w:val="00FA2240"/>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36CC-51E9-49F7-A4A6-716D7C04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2183</TotalTime>
  <Pages>6</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64</cp:revision>
  <cp:lastPrinted>2015-10-05T10:50:00Z</cp:lastPrinted>
  <dcterms:created xsi:type="dcterms:W3CDTF">2014-10-06T06:40:00Z</dcterms:created>
  <dcterms:modified xsi:type="dcterms:W3CDTF">2015-10-05T10:57:00Z</dcterms:modified>
</cp:coreProperties>
</file>