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6" w:rsidRPr="00A663E8" w:rsidRDefault="00014BC9" w:rsidP="00506FA4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A663E8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0E74C6" w:rsidRPr="00A663E8">
        <w:rPr>
          <w:rFonts w:ascii="標楷體" w:eastAsia="標楷體" w:hAnsi="標楷體" w:hint="eastAsia"/>
          <w:sz w:val="32"/>
          <w:szCs w:val="32"/>
        </w:rPr>
        <w:t>10</w:t>
      </w:r>
      <w:r w:rsidR="00CD03EC" w:rsidRPr="00A663E8">
        <w:rPr>
          <w:rFonts w:ascii="標楷體" w:eastAsia="標楷體" w:hAnsi="標楷體" w:hint="eastAsia"/>
          <w:sz w:val="32"/>
          <w:szCs w:val="32"/>
        </w:rPr>
        <w:t>4</w:t>
      </w:r>
      <w:r w:rsidR="00253D3E" w:rsidRPr="00A663E8">
        <w:rPr>
          <w:rFonts w:ascii="標楷體" w:eastAsia="標楷體" w:hAnsi="標楷體" w:hint="eastAsia"/>
          <w:sz w:val="32"/>
          <w:szCs w:val="32"/>
        </w:rPr>
        <w:t>年</w:t>
      </w:r>
      <w:r w:rsidR="00506FA4">
        <w:rPr>
          <w:rFonts w:ascii="標楷體" w:eastAsia="標楷體" w:hAnsi="標楷體" w:hint="eastAsia"/>
          <w:sz w:val="32"/>
          <w:szCs w:val="32"/>
        </w:rPr>
        <w:t>5</w:t>
      </w:r>
      <w:r w:rsidR="00253D3E" w:rsidRPr="00A663E8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A663E8">
        <w:rPr>
          <w:rFonts w:ascii="標楷體" w:eastAsia="標楷體" w:hAnsi="標楷體" w:hint="eastAsia"/>
          <w:sz w:val="32"/>
          <w:szCs w:val="32"/>
        </w:rPr>
        <w:t>、</w:t>
      </w:r>
      <w:r w:rsidR="00253D3E" w:rsidRPr="00A663E8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80"/>
        <w:gridCol w:w="5384"/>
        <w:gridCol w:w="2979"/>
        <w:gridCol w:w="2691"/>
        <w:gridCol w:w="848"/>
      </w:tblGrid>
      <w:tr w:rsidR="00A663E8" w:rsidRPr="00A663E8" w:rsidTr="00286958">
        <w:trPr>
          <w:tblHeader/>
        </w:trPr>
        <w:tc>
          <w:tcPr>
            <w:tcW w:w="833" w:type="pct"/>
            <w:shd w:val="clear" w:color="auto" w:fill="auto"/>
            <w:vAlign w:val="center"/>
          </w:tcPr>
          <w:p w:rsidR="000E74C6" w:rsidRPr="00A663E8" w:rsidRDefault="000E74C6" w:rsidP="00506F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3E8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885" w:type="pct"/>
            <w:shd w:val="clear" w:color="auto" w:fill="auto"/>
            <w:vAlign w:val="center"/>
          </w:tcPr>
          <w:p w:rsidR="000E74C6" w:rsidRPr="00A663E8" w:rsidRDefault="000E74C6" w:rsidP="00506F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3E8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43" w:type="pct"/>
            <w:shd w:val="clear" w:color="auto" w:fill="auto"/>
            <w:vAlign w:val="center"/>
          </w:tcPr>
          <w:p w:rsidR="000E74C6" w:rsidRPr="00A663E8" w:rsidRDefault="000E74C6" w:rsidP="00506F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3E8">
              <w:rPr>
                <w:rFonts w:ascii="標楷體" w:eastAsia="標楷體" w:hAnsi="標楷體" w:hint="eastAsia"/>
                <w:sz w:val="28"/>
                <w:szCs w:val="28"/>
              </w:rPr>
              <w:t>權責機關發布(下達)日期及文號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0E74C6" w:rsidRPr="00A663E8" w:rsidRDefault="000E74C6" w:rsidP="00506F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3E8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74C6" w:rsidRPr="00A663E8" w:rsidRDefault="000E74C6" w:rsidP="00506FA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63E8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02674D" w:rsidRPr="00A663E8" w:rsidTr="00286958">
        <w:trPr>
          <w:trHeight w:val="720"/>
        </w:trPr>
        <w:tc>
          <w:tcPr>
            <w:tcW w:w="833" w:type="pct"/>
            <w:shd w:val="clear" w:color="auto" w:fill="auto"/>
          </w:tcPr>
          <w:p w:rsidR="0002674D" w:rsidRPr="0022565C" w:rsidRDefault="0002674D" w:rsidP="009E5D4F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有關各級公立學校編制置護士（或護理師）2人且現職進用護理師2人，須請假達1個月以上，得由具有各該專業法規所定資格之約僱人員辦理其所遺業務</w:t>
            </w:r>
          </w:p>
        </w:tc>
        <w:tc>
          <w:tcPr>
            <w:tcW w:w="1885" w:type="pct"/>
            <w:shd w:val="clear" w:color="auto" w:fill="auto"/>
          </w:tcPr>
          <w:p w:rsidR="0002674D" w:rsidRPr="00471576" w:rsidRDefault="0002674D" w:rsidP="005050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各級公立學校編制置護士（或護理師）</w:t>
            </w:r>
            <w:r w:rsidRPr="00471576"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人且現職進用護理師</w:t>
            </w:r>
            <w:r w:rsidRPr="00471576"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人，依</w:t>
            </w: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t>各機關職務代理應行</w:t>
            </w: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注意事項第</w:t>
            </w:r>
            <w:r w:rsidRPr="00471576">
              <w:rPr>
                <w:rFonts w:ascii="標楷體" w:eastAsia="標楷體" w:hAnsi="標楷體" w:cs="新細明體"/>
                <w:color w:val="000000"/>
                <w:szCs w:val="24"/>
              </w:rPr>
              <w:t>5</w:t>
            </w: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點第</w:t>
            </w:r>
            <w:r w:rsidRPr="00471576">
              <w:rPr>
                <w:rFonts w:ascii="標楷體" w:eastAsia="標楷體" w:hAnsi="標楷體" w:cs="新細明體"/>
                <w:color w:val="000000"/>
                <w:szCs w:val="24"/>
              </w:rPr>
              <w:t>2</w:t>
            </w: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項規定，須請假達</w:t>
            </w:r>
            <w:r w:rsidRPr="00471576"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個月以上，考量護士（或護理師）之職務，無論由護士或護理師擔任，其實際工作內容並無差異，且為維護學童安全，得由具有各該專業法規所定資格之約僱人員辦理其所遺業務</w:t>
            </w:r>
            <w:r w:rsidRPr="003E2FF6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</w:tc>
        <w:tc>
          <w:tcPr>
            <w:tcW w:w="1043" w:type="pct"/>
            <w:shd w:val="clear" w:color="auto" w:fill="auto"/>
          </w:tcPr>
          <w:p w:rsidR="0002674D" w:rsidRPr="00471576" w:rsidRDefault="0002674D" w:rsidP="005050C0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471576">
              <w:rPr>
                <w:rFonts w:ascii="標楷體" w:eastAsia="標楷體" w:hAnsi="標楷體" w:cs="新細明體" w:hint="eastAsia"/>
                <w:color w:val="000000"/>
                <w:szCs w:val="24"/>
              </w:rPr>
              <w:t>銓敘部民國104年5月8日部銓三字第1043958822號書函</w:t>
            </w:r>
            <w:bookmarkStart w:id="0" w:name="_GoBack"/>
            <w:bookmarkEnd w:id="0"/>
          </w:p>
        </w:tc>
        <w:tc>
          <w:tcPr>
            <w:tcW w:w="942" w:type="pct"/>
            <w:shd w:val="clear" w:color="auto" w:fill="auto"/>
          </w:tcPr>
          <w:p w:rsidR="0002674D" w:rsidRPr="00603CE7" w:rsidRDefault="0002674D" w:rsidP="005050C0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03CE7">
              <w:rPr>
                <w:rFonts w:ascii="標楷體" w:eastAsia="標楷體" w:hAnsi="標楷體" w:cs="新細明體" w:hint="eastAsia"/>
                <w:color w:val="000000"/>
                <w:szCs w:val="24"/>
              </w:rPr>
              <w:t>臺中市政府民國</w:t>
            </w:r>
            <w:r w:rsidRPr="00603CE7">
              <w:rPr>
                <w:rFonts w:ascii="標楷體" w:eastAsia="標楷體" w:hAnsi="標楷體" w:cs="新細明體" w:hint="eastAsia"/>
                <w:szCs w:val="24"/>
              </w:rPr>
              <w:t>104年5月11日</w:t>
            </w:r>
            <w:r w:rsidRPr="00603CE7">
              <w:rPr>
                <w:rFonts w:ascii="標楷體" w:eastAsia="標楷體" w:hAnsi="標楷體" w:cs="新細明體" w:hint="eastAsia"/>
                <w:color w:val="000000"/>
                <w:szCs w:val="24"/>
              </w:rPr>
              <w:t>府授人力字第1040106456號</w:t>
            </w:r>
            <w:r w:rsidR="00603CE7" w:rsidRPr="00603CE7">
              <w:rPr>
                <w:rFonts w:ascii="標楷體" w:eastAsia="標楷體" w:hAnsi="標楷體" w:cs="新細明體" w:hint="eastAsia"/>
                <w:color w:val="000000"/>
                <w:szCs w:val="24"/>
              </w:rPr>
              <w:t>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2674D" w:rsidRPr="00A663E8" w:rsidRDefault="0002674D" w:rsidP="00506FA4">
            <w:pPr>
              <w:spacing w:line="360" w:lineRule="exact"/>
              <w:jc w:val="center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02674D" w:rsidRPr="00A663E8" w:rsidTr="00182146">
        <w:trPr>
          <w:trHeight w:val="1323"/>
        </w:trPr>
        <w:tc>
          <w:tcPr>
            <w:tcW w:w="833" w:type="pct"/>
            <w:shd w:val="clear" w:color="auto" w:fill="auto"/>
          </w:tcPr>
          <w:p w:rsidR="0002674D" w:rsidRPr="005C35FD" w:rsidRDefault="0002674D" w:rsidP="00506FA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t>為簡化醫事人員送審檢證作業，自即日起，各機關是類送審案件符合條件者，得免附專門職業及技術人員考試、檢覈或醫事證書影本</w:t>
            </w:r>
          </w:p>
        </w:tc>
        <w:tc>
          <w:tcPr>
            <w:tcW w:w="1885" w:type="pct"/>
            <w:shd w:val="clear" w:color="auto" w:fill="auto"/>
          </w:tcPr>
          <w:p w:rsidR="0002674D" w:rsidRPr="005C35FD" w:rsidRDefault="0002674D" w:rsidP="005050C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t>為加強落實簡化各機關醫事人員送審案應檢附之證明文件，日後各機關醫事人員送審案件符合下列適用範圍者，送審時得免附專門職業及技術人員考試、檢覈或醫事證書影本，相關作業事宜，說明如下：</w:t>
            </w:r>
          </w:p>
          <w:p w:rsidR="0002674D" w:rsidRPr="005C35FD" w:rsidRDefault="0002674D" w:rsidP="005050C0">
            <w:pPr>
              <w:autoSpaceDE w:val="0"/>
              <w:autoSpaceDN w:val="0"/>
              <w:adjustRightInd w:val="0"/>
              <w:spacing w:line="360" w:lineRule="exact"/>
              <w:ind w:left="458" w:hangingChars="191" w:hanging="45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t>一、適用範圍：送審時得免附專門職業及技術人員考試、檢覈證書之案件，以82年以後之是類證書者為限；倘涉及81年以前者，仍請檢附。至醫事證書，一律無須檢附。</w:t>
            </w:r>
          </w:p>
          <w:p w:rsidR="0002674D" w:rsidRPr="005C35FD" w:rsidRDefault="0002674D" w:rsidP="005050C0">
            <w:pPr>
              <w:autoSpaceDE w:val="0"/>
              <w:autoSpaceDN w:val="0"/>
              <w:adjustRightInd w:val="0"/>
              <w:spacing w:line="360" w:lineRule="exact"/>
              <w:ind w:left="458" w:hangingChars="191" w:hanging="45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t>二、注意事項：免附專門職業及技術人員考試、檢覈或醫事證書之案件，須於送審書表之相關欄位中，分別敘明所具考試、檢覈證書資格之年</w:t>
            </w: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度、考試全稱、生效日期、核發日期文號；醫事證書資格之年度、該類別醫事證書名稱、核發日期文號（如醫事證書上加註生效日期者，應一併敘明），以利查考。</w:t>
            </w:r>
          </w:p>
          <w:p w:rsidR="0002674D" w:rsidRPr="00471576" w:rsidRDefault="0002674D" w:rsidP="005050C0">
            <w:pPr>
              <w:autoSpaceDE w:val="0"/>
              <w:autoSpaceDN w:val="0"/>
              <w:adjustRightInd w:val="0"/>
              <w:spacing w:line="360" w:lineRule="exact"/>
              <w:ind w:left="458" w:hangingChars="191" w:hanging="458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t>三、例外情形：如遇特殊情事或業務需要，該部仍得就個別送審案件通知機關，以郵寄或傳真方式補送考試、檢覈或醫事證書影本。</w:t>
            </w:r>
          </w:p>
        </w:tc>
        <w:tc>
          <w:tcPr>
            <w:tcW w:w="1043" w:type="pct"/>
            <w:shd w:val="clear" w:color="auto" w:fill="auto"/>
          </w:tcPr>
          <w:p w:rsidR="0002674D" w:rsidRPr="00471576" w:rsidRDefault="0002674D" w:rsidP="005050C0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5C35FD"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銓敘部民國104年5月28日部特四字第1043982806號函</w:t>
            </w:r>
          </w:p>
        </w:tc>
        <w:tc>
          <w:tcPr>
            <w:tcW w:w="942" w:type="pct"/>
            <w:shd w:val="clear" w:color="auto" w:fill="auto"/>
          </w:tcPr>
          <w:p w:rsidR="0002674D" w:rsidRPr="00B06FAD" w:rsidRDefault="0002674D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03CE7">
              <w:rPr>
                <w:rFonts w:ascii="標楷體" w:eastAsia="標楷體" w:hAnsi="標楷體" w:cs="新細明體" w:hint="eastAsia"/>
                <w:color w:val="000000"/>
                <w:szCs w:val="24"/>
              </w:rPr>
              <w:t>臺中市政府民國104年5月29日府授人力字第1040122383號函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2674D" w:rsidRPr="00A663E8" w:rsidRDefault="0002674D" w:rsidP="00506FA4">
            <w:pPr>
              <w:spacing w:line="360" w:lineRule="exact"/>
              <w:jc w:val="center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966F93" w:rsidRPr="00A663E8" w:rsidTr="00182146">
        <w:trPr>
          <w:trHeight w:val="898"/>
        </w:trPr>
        <w:tc>
          <w:tcPr>
            <w:tcW w:w="833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4440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公務人員傑出貢獻獎遴薦選拔審議及表揚要點</w:t>
            </w:r>
          </w:p>
        </w:tc>
        <w:tc>
          <w:tcPr>
            <w:tcW w:w="1885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4440">
              <w:rPr>
                <w:rFonts w:ascii="標楷體" w:eastAsia="標楷體" w:hAnsi="標楷體" w:hint="eastAsia"/>
                <w:color w:val="000000"/>
                <w:szCs w:val="24"/>
              </w:rPr>
              <w:t>因應公務人員品德修養及工作績效激勵辦法修正，爰公務人員傑出貢獻獎遴薦選拔審議及表揚要點配合修正，重點如下：</w:t>
            </w:r>
          </w:p>
          <w:p w:rsidR="00966F93" w:rsidRPr="008B4440" w:rsidRDefault="00966F93" w:rsidP="005050C0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B4440">
              <w:rPr>
                <w:rFonts w:ascii="標楷體" w:eastAsia="標楷體" w:hAnsi="標楷體" w:hint="eastAsia"/>
                <w:color w:val="000000"/>
                <w:szCs w:val="24"/>
              </w:rPr>
              <w:t>一、增訂於銓敘部所定之公務人員傑出貢獻獎推薦期間截止後，各推薦機關對於有特殊重大傑出事蹟之個人或團體，得予即時遴薦。</w:t>
            </w:r>
          </w:p>
          <w:p w:rsidR="00966F93" w:rsidRPr="008B4440" w:rsidRDefault="00966F93" w:rsidP="005050C0">
            <w:pPr>
              <w:spacing w:line="360" w:lineRule="exact"/>
              <w:ind w:left="360" w:hangingChars="150" w:hanging="360"/>
              <w:jc w:val="both"/>
              <w:rPr>
                <w:rFonts w:ascii="標楷體" w:eastAsia="標楷體" w:hAnsi="標楷體"/>
                <w:szCs w:val="24"/>
              </w:rPr>
            </w:pPr>
            <w:r w:rsidRPr="008B4440">
              <w:rPr>
                <w:rFonts w:ascii="標楷體" w:eastAsia="標楷體" w:hAnsi="標楷體" w:hint="eastAsia"/>
                <w:color w:val="000000"/>
                <w:szCs w:val="24"/>
              </w:rPr>
              <w:t>二、修正公務人員傑出貢獻獎每年總獎額以10名為限，其中團體獎獎額以4名為限。</w:t>
            </w:r>
          </w:p>
        </w:tc>
        <w:tc>
          <w:tcPr>
            <w:tcW w:w="1043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4440">
              <w:rPr>
                <w:rFonts w:ascii="標楷體" w:eastAsia="標楷體" w:hAnsi="標楷體" w:hint="eastAsia"/>
                <w:szCs w:val="24"/>
              </w:rPr>
              <w:t>銓敘部民國104年5月1日部管二字第1043971921號函</w:t>
            </w:r>
          </w:p>
        </w:tc>
        <w:tc>
          <w:tcPr>
            <w:tcW w:w="942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663E8">
              <w:rPr>
                <w:rFonts w:ascii="標楷體" w:eastAsia="標楷體" w:hAnsi="標楷體" w:cs="華康標楷體" w:hint="eastAsia"/>
                <w:szCs w:val="24"/>
              </w:rPr>
              <w:t>臺中市政</w:t>
            </w:r>
            <w:r w:rsidRPr="00A663E8">
              <w:rPr>
                <w:rFonts w:ascii="標楷體" w:eastAsia="標楷體" w:hAnsi="標楷體" w:hint="eastAsia"/>
              </w:rPr>
              <w:t>府</w:t>
            </w:r>
            <w:r w:rsidRPr="008B4440">
              <w:rPr>
                <w:rFonts w:ascii="標楷體" w:eastAsia="標楷體" w:hAnsi="標楷體" w:hint="eastAsia"/>
                <w:szCs w:val="24"/>
              </w:rPr>
              <w:t>民國104年5月4日府授人考第1040100682號函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66F93" w:rsidRPr="00A663E8" w:rsidRDefault="00966F93" w:rsidP="00506FA4">
            <w:pPr>
              <w:spacing w:line="360" w:lineRule="exact"/>
              <w:jc w:val="center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966F93" w:rsidRPr="00A663E8" w:rsidTr="00286958">
        <w:trPr>
          <w:trHeight w:val="460"/>
        </w:trPr>
        <w:tc>
          <w:tcPr>
            <w:tcW w:w="833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4440">
              <w:rPr>
                <w:rFonts w:ascii="標楷體" w:eastAsia="標楷體" w:hAnsi="標楷體" w:hint="eastAsia"/>
                <w:szCs w:val="24"/>
              </w:rPr>
              <w:t>公務員懲戒法</w:t>
            </w:r>
          </w:p>
        </w:tc>
        <w:tc>
          <w:tcPr>
            <w:tcW w:w="1885" w:type="pct"/>
            <w:shd w:val="clear" w:color="auto" w:fill="auto"/>
          </w:tcPr>
          <w:p w:rsidR="00811B71" w:rsidRPr="00811B71" w:rsidRDefault="00811B71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811B71">
              <w:rPr>
                <w:rFonts w:ascii="標楷體" w:eastAsia="標楷體" w:hAnsi="標楷體" w:cs="Tahoma"/>
                <w:color w:val="000000"/>
                <w:szCs w:val="24"/>
              </w:rPr>
              <w:t>其修正重點如次：</w:t>
            </w:r>
          </w:p>
          <w:p w:rsidR="00811B71" w:rsidRPr="00811B71" w:rsidRDefault="00811B71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一、健全公務員懲戒制度</w:t>
            </w:r>
          </w:p>
          <w:p w:rsidR="007E5A62" w:rsidRDefault="00AE23BF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" w:left="600" w:hangingChars="200" w:hanging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(一)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為免少數公務員一旦涉及違法失職，旋即辦理退休或離職，故明定已退休（職、伍）或其他原因離職公務員於任職期間之違失行為，亦適用本法予以懲戒。</w:t>
            </w:r>
          </w:p>
          <w:p w:rsidR="00811B71" w:rsidRPr="00811B71" w:rsidRDefault="00AE23BF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" w:left="600" w:hangingChars="200" w:hanging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lastRenderedPageBreak/>
              <w:t>(二)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懲戒處分種類，除現行撤職、休職、降級、減俸、記過、申誡外</w:t>
            </w:r>
            <w:r w:rsidR="007E5A62">
              <w:rPr>
                <w:rFonts w:ascii="標楷體" w:eastAsia="標楷體" w:hAnsi="標楷體" w:cs="Tahoma" w:hint="eastAsia"/>
                <w:color w:val="000000"/>
                <w:szCs w:val="24"/>
              </w:rPr>
              <w:t>，新增「剝奪或減少退休（職、伍）金」及「罰款」等財產性懲戒處分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，並得執行退休（職、伍）金或其他原因離職之給與及遺產。</w:t>
            </w:r>
          </w:p>
          <w:p w:rsidR="00E97C3B" w:rsidRDefault="00AE23BF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" w:left="600" w:hangingChars="200" w:hanging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(三)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增訂「免除職務」之懲戒處分，除免除現職外，並不得再任用為公務員。</w:t>
            </w:r>
          </w:p>
          <w:p w:rsidR="00811B71" w:rsidRPr="00811B71" w:rsidRDefault="00AE23BF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" w:left="600" w:hangingChars="200" w:hanging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(四)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 xml:space="preserve">增列撤職停止任用期間之上限為5年以下、休職期間之上限為3 </w:t>
            </w:r>
            <w:r w:rsidR="007E045B">
              <w:rPr>
                <w:rFonts w:ascii="標楷體" w:eastAsia="標楷體" w:hAnsi="標楷體" w:cs="Tahoma" w:hint="eastAsia"/>
                <w:color w:val="000000"/>
                <w:szCs w:val="24"/>
              </w:rPr>
              <w:t>年以下，並明定不同懲戒處分之行使期間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。</w:t>
            </w:r>
          </w:p>
          <w:p w:rsidR="00811B71" w:rsidRPr="00811B71" w:rsidRDefault="00811B71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二、強化正當法律程序保障</w:t>
            </w:r>
          </w:p>
          <w:p w:rsidR="00811B71" w:rsidRPr="00811B71" w:rsidRDefault="00811B71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200" w:left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明定懲戒案件改採合議庭審判，採取直接審理、言詞辯論。另修正再審事由等規定。</w:t>
            </w:r>
          </w:p>
          <w:p w:rsidR="00811B71" w:rsidRPr="00811B71" w:rsidRDefault="00811B71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三、提升懲戒案件審理效能</w:t>
            </w:r>
          </w:p>
          <w:p w:rsidR="00811B71" w:rsidRPr="00811B71" w:rsidRDefault="00AE23BF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" w:left="600" w:hangingChars="200" w:hanging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(一)</w:t>
            </w:r>
            <w:r w:rsidR="00E97C3B">
              <w:rPr>
                <w:rFonts w:ascii="標楷體" w:eastAsia="標楷體" w:hAnsi="標楷體" w:cs="Tahoma" w:hint="eastAsia"/>
                <w:color w:val="000000"/>
                <w:szCs w:val="24"/>
              </w:rPr>
              <w:t>懲戒案件以刑懲並行為原則</w:t>
            </w:r>
            <w:r w:rsidR="007E045B">
              <w:rPr>
                <w:rFonts w:ascii="標楷體" w:eastAsia="標楷體" w:hAnsi="標楷體" w:cs="Tahoma" w:hint="eastAsia"/>
                <w:color w:val="000000"/>
                <w:szCs w:val="24"/>
              </w:rPr>
              <w:t>，惟懲戒處分涉及犯罪是否成立者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，得</w:t>
            </w: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裁定停止審理程序。惟考量我國刑事訴訟程序已透過強化交互詰問制度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，爰僅得於第一審刑事判決前停止審理程序，以免無法對公務員之違失行為產生即時懲儆之實效。</w:t>
            </w:r>
          </w:p>
          <w:p w:rsidR="00811B71" w:rsidRPr="00811B71" w:rsidRDefault="00AE23BF" w:rsidP="0050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Chars="50" w:left="600" w:hangingChars="200" w:hanging="480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(二)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t>另增訂懲戒案件如移送程序或程式不合法之</w:t>
            </w:r>
            <w:r w:rsidR="00811B71" w:rsidRPr="00811B71">
              <w:rPr>
                <w:rFonts w:ascii="標楷體" w:eastAsia="標楷體" w:hAnsi="標楷體" w:cs="Tahoma" w:hint="eastAsia"/>
                <w:color w:val="000000"/>
                <w:szCs w:val="24"/>
              </w:rPr>
              <w:lastRenderedPageBreak/>
              <w:t>情形可以補正者，應予補正之機會，如逾期未補正，應為不受理之判決。並規定懲戒案件經撤回後，同一移送機關再行移送者，應為不受理之判決。</w:t>
            </w:r>
          </w:p>
        </w:tc>
        <w:tc>
          <w:tcPr>
            <w:tcW w:w="1043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4440">
              <w:rPr>
                <w:rFonts w:ascii="標楷體" w:eastAsia="標楷體" w:hAnsi="標楷體" w:cs="Tahoma" w:hint="eastAsia"/>
                <w:color w:val="000000"/>
                <w:szCs w:val="24"/>
              </w:rPr>
              <w:lastRenderedPageBreak/>
              <w:t>總統民國104年5月20日</w:t>
            </w:r>
            <w:r w:rsidRPr="008B4440">
              <w:rPr>
                <w:rFonts w:ascii="標楷體" w:eastAsia="標楷體" w:hAnsi="標楷體" w:cs="Tahoma"/>
                <w:color w:val="000000"/>
                <w:szCs w:val="24"/>
              </w:rPr>
              <w:t>總統華總一義字第 10400058171號令</w:t>
            </w:r>
          </w:p>
        </w:tc>
        <w:tc>
          <w:tcPr>
            <w:tcW w:w="942" w:type="pct"/>
            <w:shd w:val="clear" w:color="auto" w:fill="auto"/>
          </w:tcPr>
          <w:p w:rsidR="00966F93" w:rsidRPr="008B4440" w:rsidRDefault="00966F93" w:rsidP="005050C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66F93" w:rsidRPr="00A663E8" w:rsidRDefault="00966F93" w:rsidP="00506FA4">
            <w:pPr>
              <w:spacing w:line="360" w:lineRule="exact"/>
              <w:jc w:val="center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506FA4" w:rsidRPr="00A663E8" w:rsidTr="00A304AC">
        <w:trPr>
          <w:trHeight w:val="460"/>
        </w:trPr>
        <w:tc>
          <w:tcPr>
            <w:tcW w:w="833" w:type="pct"/>
            <w:shd w:val="clear" w:color="auto" w:fill="auto"/>
          </w:tcPr>
          <w:p w:rsidR="00506FA4" w:rsidRPr="00506FA4" w:rsidRDefault="00506FA4" w:rsidP="005050C0">
            <w:pPr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506FA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「法官退養金給與辦法」業經司法院會同考試院、行政院於104年4月27日訂定發布</w:t>
            </w:r>
          </w:p>
        </w:tc>
        <w:tc>
          <w:tcPr>
            <w:tcW w:w="1885" w:type="pct"/>
            <w:shd w:val="clear" w:color="auto" w:fill="auto"/>
          </w:tcPr>
          <w:p w:rsidR="00506FA4" w:rsidRPr="009E5D4F" w:rsidRDefault="009E5D4F" w:rsidP="005050C0">
            <w:pPr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szCs w:val="24"/>
              </w:rPr>
              <w:t>依</w:t>
            </w:r>
            <w:r w:rsidR="00506FA4" w:rsidRPr="00506FA4">
              <w:rPr>
                <w:rFonts w:ascii="標楷體" w:eastAsia="標楷體" w:hAnsi="標楷體" w:cs="Tahoma"/>
                <w:color w:val="000000"/>
                <w:szCs w:val="24"/>
              </w:rPr>
              <w:t>法官法第</w:t>
            </w:r>
            <w:r w:rsidR="00506FA4"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t>78</w:t>
            </w:r>
            <w:r w:rsidR="00506FA4" w:rsidRPr="00506FA4">
              <w:rPr>
                <w:rFonts w:ascii="標楷體" w:eastAsia="標楷體" w:hAnsi="標楷體" w:cs="Tahoma"/>
                <w:color w:val="000000"/>
                <w:szCs w:val="24"/>
              </w:rPr>
              <w:t>條規定：「（第</w:t>
            </w:r>
            <w:r w:rsidR="00506FA4"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t>1</w:t>
            </w:r>
            <w:r w:rsidR="00506FA4" w:rsidRPr="00506FA4">
              <w:rPr>
                <w:rFonts w:ascii="標楷體" w:eastAsia="標楷體" w:hAnsi="標楷體" w:cs="Tahoma"/>
                <w:color w:val="000000"/>
                <w:szCs w:val="24"/>
              </w:rPr>
              <w:t>項）法官自願退休時，除依公務人員退休法規定給與一次退休金總額或月退休金外，其為實任法官者，另按下列標準給與一次退養金或月退養金…（第</w:t>
            </w:r>
            <w:r w:rsidR="00506FA4"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t>3</w:t>
            </w:r>
            <w:r w:rsidR="00506FA4" w:rsidRPr="00506FA4">
              <w:rPr>
                <w:rFonts w:ascii="標楷體" w:eastAsia="標楷體" w:hAnsi="標楷體" w:cs="Tahoma"/>
                <w:color w:val="000000"/>
                <w:szCs w:val="24"/>
              </w:rPr>
              <w:t>項）第二項退養金給與辦法由司法院會同考試院、行政院定之。（第</w:t>
            </w:r>
            <w:r w:rsidR="00506FA4"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t>4</w:t>
            </w:r>
            <w:r w:rsidR="00506FA4" w:rsidRPr="00506FA4">
              <w:rPr>
                <w:rFonts w:ascii="標楷體" w:eastAsia="標楷體" w:hAnsi="標楷體" w:cs="Tahoma"/>
                <w:color w:val="000000"/>
                <w:szCs w:val="24"/>
              </w:rPr>
              <w:t>項）司法院大法官、最高法院院長、最高行政法院院長及公務員懲戒委員會委員長退職時，除準用政務人員退職撫卹條例規定給與離職儲金外，並依前三項規定給與退養金。但非由實任法官、檢察官轉任者，不適用退養金之規定。（第</w:t>
            </w:r>
            <w:r w:rsidR="00506FA4"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t>5</w:t>
            </w:r>
            <w:r w:rsidR="00506FA4" w:rsidRPr="00506FA4">
              <w:rPr>
                <w:rFonts w:ascii="標楷體" w:eastAsia="標楷體" w:hAnsi="標楷體" w:cs="Tahoma"/>
                <w:color w:val="000000"/>
                <w:szCs w:val="24"/>
              </w:rPr>
              <w:t>項）司法院秘書長由法官、檢察官轉任者，準用前項規定。」爰訂定本辦法。</w:t>
            </w:r>
            <w:r w:rsidR="00506FA4" w:rsidRPr="00506FA4">
              <w:rPr>
                <w:rFonts w:ascii="標楷體" w:eastAsia="標楷體" w:hAnsi="標楷體" w:cs="Tahoma"/>
              </w:rPr>
              <w:t>本辦法共計十條，內容重點如下：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一、本辦法訂定之授權依據。（第一條）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ind w:left="480" w:hangingChars="200" w:hanging="480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二、法官退養金給與、任職法官年資、年齡認定標準及退養金給與上限。（第二條）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ind w:left="480" w:hangingChars="200" w:hanging="480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三、特任人員之退養金給與標準、適用對象及年齡認定標準。（第三條）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ind w:left="480" w:hangingChars="200" w:hanging="480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lastRenderedPageBreak/>
              <w:t>四、資遣之退養金給與標準及年齡認定標準。（第四條）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ind w:left="480" w:hangingChars="200" w:hanging="480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五、退養金請求權消滅時效及月退養金發給期日。（第五條）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六、退養金之給與程序。（第六條）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七、退養金領受權利之喪失。（第七條）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ind w:left="480" w:hangingChars="200" w:hanging="480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八、本辦法施行前已支領或兼領月退養金者，仍適用原規定。（第八條）</w:t>
            </w:r>
          </w:p>
          <w:p w:rsidR="00506FA4" w:rsidRPr="00506FA4" w:rsidRDefault="00506FA4" w:rsidP="005050C0">
            <w:pPr>
              <w:pStyle w:val="Default"/>
              <w:spacing w:line="360" w:lineRule="exact"/>
              <w:jc w:val="both"/>
              <w:rPr>
                <w:rFonts w:eastAsia="標楷體" w:cs="Tahoma"/>
                <w:kern w:val="2"/>
              </w:rPr>
            </w:pPr>
            <w:r w:rsidRPr="00506FA4">
              <w:rPr>
                <w:rFonts w:eastAsia="標楷體" w:cs="Tahoma"/>
                <w:kern w:val="2"/>
              </w:rPr>
              <w:t>九、檢察官退養金準用條款及支給機關。（第九條）</w:t>
            </w:r>
          </w:p>
          <w:p w:rsidR="00506FA4" w:rsidRPr="00506FA4" w:rsidRDefault="00506FA4" w:rsidP="005050C0">
            <w:pPr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506FA4">
              <w:rPr>
                <w:rFonts w:ascii="標楷體" w:eastAsia="標楷體" w:hAnsi="標楷體" w:cs="Tahoma"/>
                <w:color w:val="000000"/>
                <w:szCs w:val="24"/>
              </w:rPr>
              <w:t>十、本辦法之施行日期。（第十條）</w:t>
            </w:r>
          </w:p>
        </w:tc>
        <w:tc>
          <w:tcPr>
            <w:tcW w:w="1043" w:type="pct"/>
            <w:shd w:val="clear" w:color="auto" w:fill="auto"/>
          </w:tcPr>
          <w:p w:rsidR="00506FA4" w:rsidRPr="00506FA4" w:rsidRDefault="00506FA4" w:rsidP="005050C0">
            <w:pPr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lastRenderedPageBreak/>
              <w:t>行政院人事行政總處民國104年5月7日總處給字第10400337192號函</w:t>
            </w:r>
          </w:p>
        </w:tc>
        <w:tc>
          <w:tcPr>
            <w:tcW w:w="942" w:type="pct"/>
            <w:shd w:val="clear" w:color="auto" w:fill="auto"/>
          </w:tcPr>
          <w:p w:rsidR="00506FA4" w:rsidRPr="00506FA4" w:rsidRDefault="00506FA4" w:rsidP="005050C0">
            <w:pPr>
              <w:spacing w:line="360" w:lineRule="exact"/>
              <w:jc w:val="both"/>
              <w:rPr>
                <w:rFonts w:ascii="標楷體" w:eastAsia="標楷體" w:hAnsi="標楷體" w:cs="Tahoma"/>
                <w:color w:val="000000"/>
                <w:szCs w:val="24"/>
              </w:rPr>
            </w:pPr>
            <w:r w:rsidRPr="00506FA4">
              <w:rPr>
                <w:rFonts w:ascii="標楷體" w:eastAsia="標楷體" w:hAnsi="標楷體" w:cs="Tahoma" w:hint="eastAsia"/>
                <w:color w:val="000000"/>
                <w:szCs w:val="24"/>
              </w:rPr>
              <w:t>臺中市政府民國104年5月11日府授人給字第1040105678號函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06FA4" w:rsidRPr="00A663E8" w:rsidRDefault="00506FA4" w:rsidP="00506FA4">
            <w:pPr>
              <w:spacing w:line="360" w:lineRule="exact"/>
              <w:jc w:val="center"/>
              <w:rPr>
                <w:rFonts w:ascii="標楷體" w:eastAsia="標楷體" w:hAnsi="標楷體" w:cs="華康標楷體"/>
                <w:szCs w:val="24"/>
              </w:rPr>
            </w:pPr>
          </w:p>
        </w:tc>
      </w:tr>
    </w:tbl>
    <w:p w:rsidR="00263C0A" w:rsidRPr="00A663E8" w:rsidRDefault="00263C0A" w:rsidP="00506FA4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263C0A" w:rsidRPr="00A663E8" w:rsidSect="00016C91">
      <w:footerReference w:type="default" r:id="rId9"/>
      <w:pgSz w:w="16838" w:h="11906" w:orient="landscape"/>
      <w:pgMar w:top="1701" w:right="1440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20" w:rsidRDefault="00800620" w:rsidP="001D5F40">
      <w:r>
        <w:separator/>
      </w:r>
    </w:p>
  </w:endnote>
  <w:endnote w:type="continuationSeparator" w:id="0">
    <w:p w:rsidR="00800620" w:rsidRDefault="00800620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341933"/>
      <w:docPartObj>
        <w:docPartGallery w:val="Page Numbers (Bottom of Page)"/>
        <w:docPartUnique/>
      </w:docPartObj>
    </w:sdtPr>
    <w:sdtEndPr/>
    <w:sdtContent>
      <w:p w:rsidR="009E5D4F" w:rsidRDefault="009E5D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C0" w:rsidRPr="005050C0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94367B" w:rsidRDefault="00943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20" w:rsidRDefault="00800620" w:rsidP="001D5F40">
      <w:r>
        <w:separator/>
      </w:r>
    </w:p>
  </w:footnote>
  <w:footnote w:type="continuationSeparator" w:id="0">
    <w:p w:rsidR="00800620" w:rsidRDefault="00800620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76B"/>
    <w:multiLevelType w:val="hybridMultilevel"/>
    <w:tmpl w:val="F76A460E"/>
    <w:lvl w:ilvl="0" w:tplc="D3087AB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F0B8A"/>
    <w:multiLevelType w:val="hybridMultilevel"/>
    <w:tmpl w:val="C584E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FC5245"/>
    <w:multiLevelType w:val="hybridMultilevel"/>
    <w:tmpl w:val="C8B45658"/>
    <w:lvl w:ilvl="0" w:tplc="0C988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83929"/>
    <w:multiLevelType w:val="hybridMultilevel"/>
    <w:tmpl w:val="B100EDE6"/>
    <w:lvl w:ilvl="0" w:tplc="04C0AF7C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2E1673"/>
    <w:multiLevelType w:val="hybridMultilevel"/>
    <w:tmpl w:val="65E461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95131C"/>
    <w:multiLevelType w:val="hybridMultilevel"/>
    <w:tmpl w:val="EA44CFF4"/>
    <w:lvl w:ilvl="0" w:tplc="5ECE6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1B2117"/>
    <w:multiLevelType w:val="hybridMultilevel"/>
    <w:tmpl w:val="6FB4DA68"/>
    <w:lvl w:ilvl="0" w:tplc="B540C9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834B14"/>
    <w:multiLevelType w:val="hybridMultilevel"/>
    <w:tmpl w:val="81CAAE34"/>
    <w:lvl w:ilvl="0" w:tplc="910E59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3A2241A"/>
    <w:multiLevelType w:val="hybridMultilevel"/>
    <w:tmpl w:val="48EE4910"/>
    <w:lvl w:ilvl="0" w:tplc="B540C9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5E7AFF"/>
    <w:multiLevelType w:val="hybridMultilevel"/>
    <w:tmpl w:val="E36AF5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6A2832"/>
    <w:multiLevelType w:val="hybridMultilevel"/>
    <w:tmpl w:val="9CFCFE5E"/>
    <w:lvl w:ilvl="0" w:tplc="8F0A128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474006"/>
    <w:multiLevelType w:val="hybridMultilevel"/>
    <w:tmpl w:val="42CCEA5A"/>
    <w:lvl w:ilvl="0" w:tplc="2D7A0FB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華康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0277E53"/>
    <w:multiLevelType w:val="hybridMultilevel"/>
    <w:tmpl w:val="0BC4A3D4"/>
    <w:lvl w:ilvl="0" w:tplc="858010D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45F17A6F"/>
    <w:multiLevelType w:val="hybridMultilevel"/>
    <w:tmpl w:val="9D0A2060"/>
    <w:lvl w:ilvl="0" w:tplc="620E3202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ascii="Calibri" w:eastAsia="標楷體" w:hAnsi="Calibri" w:cs="Times New Roman"/>
      </w:rPr>
    </w:lvl>
    <w:lvl w:ilvl="1" w:tplc="0F5EE8D2">
      <w:start w:val="1"/>
      <w:numFmt w:val="taiwaneseCountingThousand"/>
      <w:lvlText w:val="（%2）"/>
      <w:lvlJc w:val="left"/>
      <w:pPr>
        <w:tabs>
          <w:tab w:val="num" w:pos="1541"/>
        </w:tabs>
        <w:ind w:left="1541" w:hanging="855"/>
      </w:pPr>
      <w:rPr>
        <w:rFonts w:hint="default"/>
        <w:b w:val="0"/>
        <w:sz w:val="28"/>
        <w:szCs w:val="28"/>
      </w:rPr>
    </w:lvl>
    <w:lvl w:ilvl="2" w:tplc="FF9E1B9E">
      <w:start w:val="1"/>
      <w:numFmt w:val="taiwaneseCountingThousand"/>
      <w:lvlText w:val="（%3）"/>
      <w:lvlJc w:val="left"/>
      <w:pPr>
        <w:tabs>
          <w:tab w:val="num" w:pos="2021"/>
        </w:tabs>
        <w:ind w:left="2021" w:hanging="855"/>
      </w:pPr>
      <w:rPr>
        <w:rFonts w:hint="default"/>
        <w:b w:val="0"/>
      </w:rPr>
    </w:lvl>
    <w:lvl w:ilvl="3" w:tplc="463CE9E0">
      <w:start w:val="1"/>
      <w:numFmt w:val="taiwaneseCountingThousand"/>
      <w:lvlText w:val="(%4)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6"/>
        </w:tabs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6"/>
        </w:tabs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6"/>
        </w:tabs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6"/>
        </w:tabs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6"/>
        </w:tabs>
        <w:ind w:left="4526" w:hanging="480"/>
      </w:pPr>
    </w:lvl>
  </w:abstractNum>
  <w:abstractNum w:abstractNumId="14">
    <w:nsid w:val="4DD11CC9"/>
    <w:multiLevelType w:val="hybridMultilevel"/>
    <w:tmpl w:val="D81C654E"/>
    <w:lvl w:ilvl="0" w:tplc="F3DCD7A8">
      <w:start w:val="1"/>
      <w:numFmt w:val="taiwaneseCountingThousand"/>
      <w:lvlText w:val="%1、"/>
      <w:lvlJc w:val="left"/>
      <w:pPr>
        <w:ind w:left="614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5">
    <w:nsid w:val="50B272F4"/>
    <w:multiLevelType w:val="hybridMultilevel"/>
    <w:tmpl w:val="A04CFC40"/>
    <w:lvl w:ilvl="0" w:tplc="3F78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306621C"/>
    <w:multiLevelType w:val="hybridMultilevel"/>
    <w:tmpl w:val="068EEBE8"/>
    <w:lvl w:ilvl="0" w:tplc="CD56F7D2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Calibri"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31D403C"/>
    <w:multiLevelType w:val="hybridMultilevel"/>
    <w:tmpl w:val="385ED37E"/>
    <w:lvl w:ilvl="0" w:tplc="EF5A073A">
      <w:start w:val="1"/>
      <w:numFmt w:val="taiwaneseCountingThousand"/>
      <w:lvlText w:val="%1、"/>
      <w:lvlJc w:val="left"/>
      <w:pPr>
        <w:ind w:left="512" w:hanging="4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8">
    <w:nsid w:val="547A1165"/>
    <w:multiLevelType w:val="hybridMultilevel"/>
    <w:tmpl w:val="1D54AA96"/>
    <w:lvl w:ilvl="0" w:tplc="CDF27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51D798A"/>
    <w:multiLevelType w:val="hybridMultilevel"/>
    <w:tmpl w:val="7A0C81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7A414F"/>
    <w:multiLevelType w:val="hybridMultilevel"/>
    <w:tmpl w:val="536CB846"/>
    <w:lvl w:ilvl="0" w:tplc="E59AEB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6AB1D83"/>
    <w:multiLevelType w:val="hybridMultilevel"/>
    <w:tmpl w:val="70E0A904"/>
    <w:lvl w:ilvl="0" w:tplc="AED240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0644E3"/>
    <w:multiLevelType w:val="hybridMultilevel"/>
    <w:tmpl w:val="0FA0F17A"/>
    <w:lvl w:ilvl="0" w:tplc="7DF6A9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D5193A"/>
    <w:multiLevelType w:val="hybridMultilevel"/>
    <w:tmpl w:val="581A5B10"/>
    <w:lvl w:ilvl="0" w:tplc="EF5A073A">
      <w:start w:val="1"/>
      <w:numFmt w:val="taiwaneseCountingThousand"/>
      <w:lvlText w:val="%1、"/>
      <w:lvlJc w:val="left"/>
      <w:pPr>
        <w:ind w:left="512" w:hanging="4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4">
    <w:nsid w:val="5D431D6F"/>
    <w:multiLevelType w:val="hybridMultilevel"/>
    <w:tmpl w:val="E63889FC"/>
    <w:lvl w:ilvl="0" w:tplc="17383DDA">
      <w:start w:val="1"/>
      <w:numFmt w:val="taiwaneseCountingThousand"/>
      <w:lvlText w:val="%1、"/>
      <w:lvlJc w:val="left"/>
      <w:pPr>
        <w:ind w:left="643" w:hanging="360"/>
      </w:pPr>
      <w:rPr>
        <w:rFonts w:ascii="標楷體" w:eastAsia="標楷體" w:hAnsi="Calibri" w:cs="Times New Roman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>
    <w:nsid w:val="600C68BF"/>
    <w:multiLevelType w:val="hybridMultilevel"/>
    <w:tmpl w:val="37BEBF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55B1770"/>
    <w:multiLevelType w:val="hybridMultilevel"/>
    <w:tmpl w:val="8C8A03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96007D"/>
    <w:multiLevelType w:val="hybridMultilevel"/>
    <w:tmpl w:val="16F402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AE265E"/>
    <w:multiLevelType w:val="hybridMultilevel"/>
    <w:tmpl w:val="11D45090"/>
    <w:lvl w:ilvl="0" w:tplc="0C988028">
      <w:start w:val="1"/>
      <w:numFmt w:val="taiwaneseCountingThousand"/>
      <w:lvlText w:val="%1、"/>
      <w:lvlJc w:val="left"/>
      <w:pPr>
        <w:ind w:left="73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9">
    <w:nsid w:val="718F5A2B"/>
    <w:multiLevelType w:val="hybridMultilevel"/>
    <w:tmpl w:val="9CCE15B0"/>
    <w:lvl w:ilvl="0" w:tplc="CD56F7D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Calibri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3876574"/>
    <w:multiLevelType w:val="hybridMultilevel"/>
    <w:tmpl w:val="06FE80C6"/>
    <w:lvl w:ilvl="0" w:tplc="CD56F7D2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Calibri"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7B9028BC"/>
    <w:multiLevelType w:val="hybridMultilevel"/>
    <w:tmpl w:val="5080CC32"/>
    <w:lvl w:ilvl="0" w:tplc="36E6A1D8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2">
    <w:nsid w:val="7F536A74"/>
    <w:multiLevelType w:val="hybridMultilevel"/>
    <w:tmpl w:val="3FFCF53A"/>
    <w:lvl w:ilvl="0" w:tplc="7BE2279A">
      <w:start w:val="1"/>
      <w:numFmt w:val="taiwaneseCountingThousand"/>
      <w:lvlText w:val="%1、"/>
      <w:lvlJc w:val="left"/>
      <w:pPr>
        <w:tabs>
          <w:tab w:val="num" w:pos="1003"/>
        </w:tabs>
        <w:ind w:left="1003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num w:numId="1">
    <w:abstractNumId w:val="28"/>
  </w:num>
  <w:num w:numId="2">
    <w:abstractNumId w:val="31"/>
  </w:num>
  <w:num w:numId="3">
    <w:abstractNumId w:val="5"/>
  </w:num>
  <w:num w:numId="4">
    <w:abstractNumId w:val="3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18"/>
  </w:num>
  <w:num w:numId="10">
    <w:abstractNumId w:val="9"/>
  </w:num>
  <w:num w:numId="11">
    <w:abstractNumId w:val="26"/>
  </w:num>
  <w:num w:numId="12">
    <w:abstractNumId w:val="2"/>
  </w:num>
  <w:num w:numId="13">
    <w:abstractNumId w:val="8"/>
  </w:num>
  <w:num w:numId="14">
    <w:abstractNumId w:val="14"/>
  </w:num>
  <w:num w:numId="15">
    <w:abstractNumId w:val="22"/>
  </w:num>
  <w:num w:numId="16">
    <w:abstractNumId w:val="19"/>
  </w:num>
  <w:num w:numId="17">
    <w:abstractNumId w:val="27"/>
  </w:num>
  <w:num w:numId="18">
    <w:abstractNumId w:val="25"/>
  </w:num>
  <w:num w:numId="19">
    <w:abstractNumId w:val="21"/>
  </w:num>
  <w:num w:numId="20">
    <w:abstractNumId w:val="13"/>
  </w:num>
  <w:num w:numId="21">
    <w:abstractNumId w:val="17"/>
  </w:num>
  <w:num w:numId="22">
    <w:abstractNumId w:val="23"/>
  </w:num>
  <w:num w:numId="23">
    <w:abstractNumId w:val="30"/>
  </w:num>
  <w:num w:numId="24">
    <w:abstractNumId w:val="16"/>
  </w:num>
  <w:num w:numId="25">
    <w:abstractNumId w:val="7"/>
  </w:num>
  <w:num w:numId="26">
    <w:abstractNumId w:val="7"/>
  </w:num>
  <w:num w:numId="27">
    <w:abstractNumId w:val="15"/>
  </w:num>
  <w:num w:numId="28">
    <w:abstractNumId w:val="20"/>
  </w:num>
  <w:num w:numId="29">
    <w:abstractNumId w:val="11"/>
  </w:num>
  <w:num w:numId="30">
    <w:abstractNumId w:val="12"/>
  </w:num>
  <w:num w:numId="31">
    <w:abstractNumId w:val="4"/>
  </w:num>
  <w:num w:numId="32">
    <w:abstractNumId w:val="10"/>
  </w:num>
  <w:num w:numId="33">
    <w:abstractNumId w:val="2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6254"/>
    <w:rsid w:val="00014BC9"/>
    <w:rsid w:val="00016C91"/>
    <w:rsid w:val="00017E2A"/>
    <w:rsid w:val="00021779"/>
    <w:rsid w:val="000243E4"/>
    <w:rsid w:val="00025854"/>
    <w:rsid w:val="00025A58"/>
    <w:rsid w:val="000263C2"/>
    <w:rsid w:val="0002674D"/>
    <w:rsid w:val="0002788E"/>
    <w:rsid w:val="00053B2C"/>
    <w:rsid w:val="00073566"/>
    <w:rsid w:val="00075E8E"/>
    <w:rsid w:val="00087A0C"/>
    <w:rsid w:val="00094B50"/>
    <w:rsid w:val="000960C3"/>
    <w:rsid w:val="000A1A7A"/>
    <w:rsid w:val="000A45B9"/>
    <w:rsid w:val="000A46E1"/>
    <w:rsid w:val="000A6D64"/>
    <w:rsid w:val="000B0F10"/>
    <w:rsid w:val="000B343C"/>
    <w:rsid w:val="000C0AB2"/>
    <w:rsid w:val="000C1C7F"/>
    <w:rsid w:val="000D3665"/>
    <w:rsid w:val="000E43CF"/>
    <w:rsid w:val="000E74C6"/>
    <w:rsid w:val="001137A1"/>
    <w:rsid w:val="001145B0"/>
    <w:rsid w:val="001176C6"/>
    <w:rsid w:val="0013190C"/>
    <w:rsid w:val="00132800"/>
    <w:rsid w:val="00133691"/>
    <w:rsid w:val="0013551A"/>
    <w:rsid w:val="001465F9"/>
    <w:rsid w:val="00156194"/>
    <w:rsid w:val="00160211"/>
    <w:rsid w:val="001768AF"/>
    <w:rsid w:val="00182146"/>
    <w:rsid w:val="00182BBB"/>
    <w:rsid w:val="00190311"/>
    <w:rsid w:val="0019320E"/>
    <w:rsid w:val="001C3E8C"/>
    <w:rsid w:val="001C5DBB"/>
    <w:rsid w:val="001C6239"/>
    <w:rsid w:val="001D200B"/>
    <w:rsid w:val="001D56F3"/>
    <w:rsid w:val="001D5F40"/>
    <w:rsid w:val="001D70A5"/>
    <w:rsid w:val="001E039C"/>
    <w:rsid w:val="001E1A13"/>
    <w:rsid w:val="001E30D9"/>
    <w:rsid w:val="001E35AF"/>
    <w:rsid w:val="001E474A"/>
    <w:rsid w:val="001E717A"/>
    <w:rsid w:val="001F1F68"/>
    <w:rsid w:val="001F2323"/>
    <w:rsid w:val="0020668C"/>
    <w:rsid w:val="00213799"/>
    <w:rsid w:val="00214261"/>
    <w:rsid w:val="00217482"/>
    <w:rsid w:val="00222D70"/>
    <w:rsid w:val="00232381"/>
    <w:rsid w:val="0024565B"/>
    <w:rsid w:val="00253D3E"/>
    <w:rsid w:val="00263C0A"/>
    <w:rsid w:val="002823B3"/>
    <w:rsid w:val="002827AF"/>
    <w:rsid w:val="00284D1F"/>
    <w:rsid w:val="00286958"/>
    <w:rsid w:val="00292068"/>
    <w:rsid w:val="002A70C6"/>
    <w:rsid w:val="002A7CEE"/>
    <w:rsid w:val="002B258F"/>
    <w:rsid w:val="002B5F8B"/>
    <w:rsid w:val="002C04E4"/>
    <w:rsid w:val="002C1DDD"/>
    <w:rsid w:val="002C31F5"/>
    <w:rsid w:val="002D2AF7"/>
    <w:rsid w:val="002E144B"/>
    <w:rsid w:val="002E5371"/>
    <w:rsid w:val="002F130A"/>
    <w:rsid w:val="00316FC3"/>
    <w:rsid w:val="00325688"/>
    <w:rsid w:val="003366FA"/>
    <w:rsid w:val="0034364C"/>
    <w:rsid w:val="00347FB5"/>
    <w:rsid w:val="00353851"/>
    <w:rsid w:val="00353DE5"/>
    <w:rsid w:val="0036034E"/>
    <w:rsid w:val="00361DA8"/>
    <w:rsid w:val="00362E5D"/>
    <w:rsid w:val="00375F39"/>
    <w:rsid w:val="00385F55"/>
    <w:rsid w:val="003906EB"/>
    <w:rsid w:val="003947D5"/>
    <w:rsid w:val="003A2027"/>
    <w:rsid w:val="003A2391"/>
    <w:rsid w:val="003A4483"/>
    <w:rsid w:val="003A4EDD"/>
    <w:rsid w:val="003A6BBD"/>
    <w:rsid w:val="003B0FA4"/>
    <w:rsid w:val="003B3A83"/>
    <w:rsid w:val="003C20A1"/>
    <w:rsid w:val="003C2C62"/>
    <w:rsid w:val="003E403C"/>
    <w:rsid w:val="003E7158"/>
    <w:rsid w:val="003F016C"/>
    <w:rsid w:val="00407191"/>
    <w:rsid w:val="004121A3"/>
    <w:rsid w:val="0042003F"/>
    <w:rsid w:val="00420912"/>
    <w:rsid w:val="00422BEB"/>
    <w:rsid w:val="004246F0"/>
    <w:rsid w:val="004269A8"/>
    <w:rsid w:val="004314BE"/>
    <w:rsid w:val="00431C68"/>
    <w:rsid w:val="004365CB"/>
    <w:rsid w:val="00445675"/>
    <w:rsid w:val="0045220F"/>
    <w:rsid w:val="00452C49"/>
    <w:rsid w:val="004572A3"/>
    <w:rsid w:val="00466C1E"/>
    <w:rsid w:val="00467CDB"/>
    <w:rsid w:val="00477FF2"/>
    <w:rsid w:val="00486BEB"/>
    <w:rsid w:val="00494905"/>
    <w:rsid w:val="00495576"/>
    <w:rsid w:val="0049581C"/>
    <w:rsid w:val="004A1A5F"/>
    <w:rsid w:val="004A5B79"/>
    <w:rsid w:val="004A6B23"/>
    <w:rsid w:val="004D0A90"/>
    <w:rsid w:val="004E234B"/>
    <w:rsid w:val="004E284E"/>
    <w:rsid w:val="004E499F"/>
    <w:rsid w:val="004E5252"/>
    <w:rsid w:val="004E7DAC"/>
    <w:rsid w:val="004F226E"/>
    <w:rsid w:val="004F60C4"/>
    <w:rsid w:val="004F7B11"/>
    <w:rsid w:val="005050C0"/>
    <w:rsid w:val="00506680"/>
    <w:rsid w:val="00506FA4"/>
    <w:rsid w:val="005072E1"/>
    <w:rsid w:val="005111E5"/>
    <w:rsid w:val="00511B17"/>
    <w:rsid w:val="005127CA"/>
    <w:rsid w:val="005150A2"/>
    <w:rsid w:val="005164AB"/>
    <w:rsid w:val="005348D0"/>
    <w:rsid w:val="005351A7"/>
    <w:rsid w:val="00543E4F"/>
    <w:rsid w:val="005467BE"/>
    <w:rsid w:val="00550203"/>
    <w:rsid w:val="00550277"/>
    <w:rsid w:val="00550D49"/>
    <w:rsid w:val="00555DB5"/>
    <w:rsid w:val="00562DCB"/>
    <w:rsid w:val="00563EAD"/>
    <w:rsid w:val="00583D9F"/>
    <w:rsid w:val="00583DC1"/>
    <w:rsid w:val="005A75BA"/>
    <w:rsid w:val="005B35A4"/>
    <w:rsid w:val="005B3C22"/>
    <w:rsid w:val="005B430D"/>
    <w:rsid w:val="005B57DA"/>
    <w:rsid w:val="005C272D"/>
    <w:rsid w:val="005D7DFB"/>
    <w:rsid w:val="005E4524"/>
    <w:rsid w:val="005F28F3"/>
    <w:rsid w:val="005F4C3B"/>
    <w:rsid w:val="00603CE7"/>
    <w:rsid w:val="006059BE"/>
    <w:rsid w:val="00616B8B"/>
    <w:rsid w:val="00621AB1"/>
    <w:rsid w:val="0062475B"/>
    <w:rsid w:val="00625BB5"/>
    <w:rsid w:val="00631108"/>
    <w:rsid w:val="006343CA"/>
    <w:rsid w:val="00640868"/>
    <w:rsid w:val="006446CE"/>
    <w:rsid w:val="006457B6"/>
    <w:rsid w:val="0064587B"/>
    <w:rsid w:val="0064758D"/>
    <w:rsid w:val="006603D1"/>
    <w:rsid w:val="006807B7"/>
    <w:rsid w:val="00683F95"/>
    <w:rsid w:val="00684D94"/>
    <w:rsid w:val="00697EB6"/>
    <w:rsid w:val="006A09C0"/>
    <w:rsid w:val="006A7D70"/>
    <w:rsid w:val="006B377D"/>
    <w:rsid w:val="006C2D70"/>
    <w:rsid w:val="006D1A52"/>
    <w:rsid w:val="006D3D36"/>
    <w:rsid w:val="006D7E95"/>
    <w:rsid w:val="006E2255"/>
    <w:rsid w:val="006E2EAC"/>
    <w:rsid w:val="006E698B"/>
    <w:rsid w:val="006F0287"/>
    <w:rsid w:val="00701B2B"/>
    <w:rsid w:val="007036C4"/>
    <w:rsid w:val="0070525B"/>
    <w:rsid w:val="0070611E"/>
    <w:rsid w:val="00710A6D"/>
    <w:rsid w:val="0072224F"/>
    <w:rsid w:val="00735CF3"/>
    <w:rsid w:val="007372B2"/>
    <w:rsid w:val="007372BE"/>
    <w:rsid w:val="00743441"/>
    <w:rsid w:val="007447A9"/>
    <w:rsid w:val="00745DA4"/>
    <w:rsid w:val="007462A7"/>
    <w:rsid w:val="00746D52"/>
    <w:rsid w:val="007538E7"/>
    <w:rsid w:val="00756217"/>
    <w:rsid w:val="007604CE"/>
    <w:rsid w:val="00763484"/>
    <w:rsid w:val="00786AE9"/>
    <w:rsid w:val="00790A3E"/>
    <w:rsid w:val="00797038"/>
    <w:rsid w:val="007B5D98"/>
    <w:rsid w:val="007C2CD6"/>
    <w:rsid w:val="007D3405"/>
    <w:rsid w:val="007D3911"/>
    <w:rsid w:val="007E045B"/>
    <w:rsid w:val="007E5A62"/>
    <w:rsid w:val="007E5AAC"/>
    <w:rsid w:val="007E6B42"/>
    <w:rsid w:val="007E6E26"/>
    <w:rsid w:val="007F09A8"/>
    <w:rsid w:val="00800620"/>
    <w:rsid w:val="00801FDE"/>
    <w:rsid w:val="00803A66"/>
    <w:rsid w:val="00811B71"/>
    <w:rsid w:val="00812EB3"/>
    <w:rsid w:val="008145F8"/>
    <w:rsid w:val="008177E4"/>
    <w:rsid w:val="00821779"/>
    <w:rsid w:val="00824A6D"/>
    <w:rsid w:val="00831793"/>
    <w:rsid w:val="00834E4F"/>
    <w:rsid w:val="00837B5A"/>
    <w:rsid w:val="00845D1D"/>
    <w:rsid w:val="00847730"/>
    <w:rsid w:val="00851795"/>
    <w:rsid w:val="0086168C"/>
    <w:rsid w:val="008631B5"/>
    <w:rsid w:val="00864688"/>
    <w:rsid w:val="00865414"/>
    <w:rsid w:val="0088213E"/>
    <w:rsid w:val="00885F6E"/>
    <w:rsid w:val="00886398"/>
    <w:rsid w:val="00893791"/>
    <w:rsid w:val="008A388A"/>
    <w:rsid w:val="008B60E8"/>
    <w:rsid w:val="008C045E"/>
    <w:rsid w:val="008C0C21"/>
    <w:rsid w:val="008D26E5"/>
    <w:rsid w:val="008D3F3E"/>
    <w:rsid w:val="008E0085"/>
    <w:rsid w:val="008E1FDE"/>
    <w:rsid w:val="00901477"/>
    <w:rsid w:val="0090778A"/>
    <w:rsid w:val="0091337D"/>
    <w:rsid w:val="009138AE"/>
    <w:rsid w:val="009151CB"/>
    <w:rsid w:val="009251FD"/>
    <w:rsid w:val="00925B49"/>
    <w:rsid w:val="009273EF"/>
    <w:rsid w:val="00930532"/>
    <w:rsid w:val="00942D37"/>
    <w:rsid w:val="0094367B"/>
    <w:rsid w:val="009501E3"/>
    <w:rsid w:val="00953860"/>
    <w:rsid w:val="00956B4E"/>
    <w:rsid w:val="00961AF3"/>
    <w:rsid w:val="00966649"/>
    <w:rsid w:val="00966F93"/>
    <w:rsid w:val="00970AF3"/>
    <w:rsid w:val="009843F7"/>
    <w:rsid w:val="00992D70"/>
    <w:rsid w:val="0099700E"/>
    <w:rsid w:val="009A2C76"/>
    <w:rsid w:val="009A5ABB"/>
    <w:rsid w:val="009B439C"/>
    <w:rsid w:val="009B4E27"/>
    <w:rsid w:val="009B4F15"/>
    <w:rsid w:val="009B5474"/>
    <w:rsid w:val="009C438E"/>
    <w:rsid w:val="009D31B6"/>
    <w:rsid w:val="009E5D4F"/>
    <w:rsid w:val="009F11ED"/>
    <w:rsid w:val="009F449D"/>
    <w:rsid w:val="00A14592"/>
    <w:rsid w:val="00A16ACF"/>
    <w:rsid w:val="00A27E97"/>
    <w:rsid w:val="00A337DE"/>
    <w:rsid w:val="00A33AD4"/>
    <w:rsid w:val="00A4155C"/>
    <w:rsid w:val="00A54A95"/>
    <w:rsid w:val="00A56D68"/>
    <w:rsid w:val="00A574A2"/>
    <w:rsid w:val="00A64816"/>
    <w:rsid w:val="00A663E8"/>
    <w:rsid w:val="00A6773E"/>
    <w:rsid w:val="00A86E63"/>
    <w:rsid w:val="00A9234C"/>
    <w:rsid w:val="00AA0D20"/>
    <w:rsid w:val="00AA0EE1"/>
    <w:rsid w:val="00AA1784"/>
    <w:rsid w:val="00AA5B8F"/>
    <w:rsid w:val="00AA764A"/>
    <w:rsid w:val="00AB2107"/>
    <w:rsid w:val="00AB6AF3"/>
    <w:rsid w:val="00AD0B2F"/>
    <w:rsid w:val="00AD2E28"/>
    <w:rsid w:val="00AD7AF2"/>
    <w:rsid w:val="00AD7B9C"/>
    <w:rsid w:val="00AE20FB"/>
    <w:rsid w:val="00AE23BF"/>
    <w:rsid w:val="00AE27DA"/>
    <w:rsid w:val="00AE3117"/>
    <w:rsid w:val="00AE3784"/>
    <w:rsid w:val="00AE452F"/>
    <w:rsid w:val="00AF13FA"/>
    <w:rsid w:val="00AF58D5"/>
    <w:rsid w:val="00AF65D1"/>
    <w:rsid w:val="00B0539F"/>
    <w:rsid w:val="00B175D9"/>
    <w:rsid w:val="00B21FE4"/>
    <w:rsid w:val="00B41462"/>
    <w:rsid w:val="00B5232F"/>
    <w:rsid w:val="00B560E3"/>
    <w:rsid w:val="00B60063"/>
    <w:rsid w:val="00B601CD"/>
    <w:rsid w:val="00B65E24"/>
    <w:rsid w:val="00B67FAE"/>
    <w:rsid w:val="00B70341"/>
    <w:rsid w:val="00B74ACE"/>
    <w:rsid w:val="00B77D61"/>
    <w:rsid w:val="00B90165"/>
    <w:rsid w:val="00B909CA"/>
    <w:rsid w:val="00B9130D"/>
    <w:rsid w:val="00B934E3"/>
    <w:rsid w:val="00BA279E"/>
    <w:rsid w:val="00BB1910"/>
    <w:rsid w:val="00BB4280"/>
    <w:rsid w:val="00BB79CD"/>
    <w:rsid w:val="00BC2638"/>
    <w:rsid w:val="00BC2691"/>
    <w:rsid w:val="00BC762B"/>
    <w:rsid w:val="00BD3686"/>
    <w:rsid w:val="00BE007A"/>
    <w:rsid w:val="00BF062B"/>
    <w:rsid w:val="00BF2736"/>
    <w:rsid w:val="00BF7CD7"/>
    <w:rsid w:val="00C04078"/>
    <w:rsid w:val="00C118CC"/>
    <w:rsid w:val="00C11AB9"/>
    <w:rsid w:val="00C125CF"/>
    <w:rsid w:val="00C24720"/>
    <w:rsid w:val="00C247C5"/>
    <w:rsid w:val="00C27104"/>
    <w:rsid w:val="00C30F17"/>
    <w:rsid w:val="00C63E3A"/>
    <w:rsid w:val="00C646BF"/>
    <w:rsid w:val="00C75528"/>
    <w:rsid w:val="00C77CA2"/>
    <w:rsid w:val="00C81F5F"/>
    <w:rsid w:val="00C86DEE"/>
    <w:rsid w:val="00C913BD"/>
    <w:rsid w:val="00C966C8"/>
    <w:rsid w:val="00C97C3F"/>
    <w:rsid w:val="00CA4F85"/>
    <w:rsid w:val="00CB1C2A"/>
    <w:rsid w:val="00CB261A"/>
    <w:rsid w:val="00CC7FBD"/>
    <w:rsid w:val="00CD03EC"/>
    <w:rsid w:val="00CD2CE8"/>
    <w:rsid w:val="00CD2DE3"/>
    <w:rsid w:val="00CD378D"/>
    <w:rsid w:val="00CE693E"/>
    <w:rsid w:val="00CE762D"/>
    <w:rsid w:val="00CF1C12"/>
    <w:rsid w:val="00CF2DAA"/>
    <w:rsid w:val="00CF50B3"/>
    <w:rsid w:val="00D01813"/>
    <w:rsid w:val="00D0687F"/>
    <w:rsid w:val="00D2316A"/>
    <w:rsid w:val="00D35FE5"/>
    <w:rsid w:val="00D3642B"/>
    <w:rsid w:val="00D375C7"/>
    <w:rsid w:val="00D41763"/>
    <w:rsid w:val="00D42E36"/>
    <w:rsid w:val="00D44898"/>
    <w:rsid w:val="00D51EFA"/>
    <w:rsid w:val="00D630AA"/>
    <w:rsid w:val="00D65DE2"/>
    <w:rsid w:val="00D667C3"/>
    <w:rsid w:val="00D82F2E"/>
    <w:rsid w:val="00D92DD2"/>
    <w:rsid w:val="00D94152"/>
    <w:rsid w:val="00DA1FA5"/>
    <w:rsid w:val="00DA46C0"/>
    <w:rsid w:val="00DC3671"/>
    <w:rsid w:val="00DC4318"/>
    <w:rsid w:val="00DD4A50"/>
    <w:rsid w:val="00DD58E4"/>
    <w:rsid w:val="00DD69F0"/>
    <w:rsid w:val="00DD704B"/>
    <w:rsid w:val="00DD71B7"/>
    <w:rsid w:val="00DF5F21"/>
    <w:rsid w:val="00E0711A"/>
    <w:rsid w:val="00E105C2"/>
    <w:rsid w:val="00E122E1"/>
    <w:rsid w:val="00E200A2"/>
    <w:rsid w:val="00E27D57"/>
    <w:rsid w:val="00E30696"/>
    <w:rsid w:val="00E30B4D"/>
    <w:rsid w:val="00E31B10"/>
    <w:rsid w:val="00E42F63"/>
    <w:rsid w:val="00E444D1"/>
    <w:rsid w:val="00E52DED"/>
    <w:rsid w:val="00E53FA7"/>
    <w:rsid w:val="00E55BBD"/>
    <w:rsid w:val="00E64167"/>
    <w:rsid w:val="00E64F69"/>
    <w:rsid w:val="00E741E1"/>
    <w:rsid w:val="00E840B8"/>
    <w:rsid w:val="00E861A4"/>
    <w:rsid w:val="00E947A2"/>
    <w:rsid w:val="00E97C3B"/>
    <w:rsid w:val="00EA0256"/>
    <w:rsid w:val="00EA37BC"/>
    <w:rsid w:val="00EA3EFE"/>
    <w:rsid w:val="00EA4459"/>
    <w:rsid w:val="00EA7C37"/>
    <w:rsid w:val="00EB146E"/>
    <w:rsid w:val="00EB4A18"/>
    <w:rsid w:val="00EB583F"/>
    <w:rsid w:val="00EC1ACD"/>
    <w:rsid w:val="00EC5171"/>
    <w:rsid w:val="00EC6212"/>
    <w:rsid w:val="00EC77C0"/>
    <w:rsid w:val="00ED370C"/>
    <w:rsid w:val="00ED5820"/>
    <w:rsid w:val="00EE0D34"/>
    <w:rsid w:val="00EE27FF"/>
    <w:rsid w:val="00EE2CB7"/>
    <w:rsid w:val="00EF06EA"/>
    <w:rsid w:val="00EF6832"/>
    <w:rsid w:val="00F006AB"/>
    <w:rsid w:val="00F02A69"/>
    <w:rsid w:val="00F062C0"/>
    <w:rsid w:val="00F0678F"/>
    <w:rsid w:val="00F07882"/>
    <w:rsid w:val="00F10E5F"/>
    <w:rsid w:val="00F13996"/>
    <w:rsid w:val="00F16AAE"/>
    <w:rsid w:val="00F17705"/>
    <w:rsid w:val="00F243D8"/>
    <w:rsid w:val="00F2704E"/>
    <w:rsid w:val="00F326F3"/>
    <w:rsid w:val="00F32775"/>
    <w:rsid w:val="00F36242"/>
    <w:rsid w:val="00F41ED4"/>
    <w:rsid w:val="00F46015"/>
    <w:rsid w:val="00F579B2"/>
    <w:rsid w:val="00F6181F"/>
    <w:rsid w:val="00F643C2"/>
    <w:rsid w:val="00F7780D"/>
    <w:rsid w:val="00F81B3E"/>
    <w:rsid w:val="00F82377"/>
    <w:rsid w:val="00F84DF0"/>
    <w:rsid w:val="00F863E2"/>
    <w:rsid w:val="00F86862"/>
    <w:rsid w:val="00F935AD"/>
    <w:rsid w:val="00F94D55"/>
    <w:rsid w:val="00F95BF6"/>
    <w:rsid w:val="00F960A8"/>
    <w:rsid w:val="00FA1230"/>
    <w:rsid w:val="00FA2240"/>
    <w:rsid w:val="00FA6CF0"/>
    <w:rsid w:val="00FA7FBD"/>
    <w:rsid w:val="00FB7A8B"/>
    <w:rsid w:val="00FC4681"/>
    <w:rsid w:val="00FD6D81"/>
    <w:rsid w:val="00FE3AFC"/>
    <w:rsid w:val="00FE5622"/>
    <w:rsid w:val="00FE791B"/>
    <w:rsid w:val="00FE7F33"/>
    <w:rsid w:val="00FF080A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E149-DA7A-454F-B0DD-71C5C137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47</cp:revision>
  <cp:lastPrinted>2015-06-09T03:39:00Z</cp:lastPrinted>
  <dcterms:created xsi:type="dcterms:W3CDTF">2014-10-06T06:40:00Z</dcterms:created>
  <dcterms:modified xsi:type="dcterms:W3CDTF">2015-06-09T03:59:00Z</dcterms:modified>
</cp:coreProperties>
</file>